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08DCB8">
      <w:pPr>
        <w:shd w:val="clear"/>
        <w:spacing w:line="360" w:lineRule="auto"/>
        <w:rPr>
          <w:rFonts w:hint="eastAsia" w:ascii="楷体" w:hAnsi="楷体" w:eastAsia="楷体" w:cs="楷体"/>
          <w:b/>
          <w:color w:val="auto"/>
          <w:sz w:val="24"/>
          <w:highlight w:val="none"/>
        </w:rPr>
      </w:pPr>
      <w:bookmarkStart w:id="0" w:name="_Toc19188"/>
      <w:bookmarkStart w:id="1" w:name="_Toc191876958"/>
      <w:bookmarkStart w:id="2" w:name="_Toc11035"/>
      <w:r>
        <w:rPr>
          <w:rFonts w:hint="eastAsia" w:ascii="楷体" w:hAnsi="楷体" w:eastAsia="楷体" w:cs="楷体"/>
          <w:b/>
          <w:color w:val="auto"/>
          <w:sz w:val="24"/>
          <w:highlight w:val="none"/>
        </w:rPr>
        <w:t>政府采购合同格式</w:t>
      </w:r>
    </w:p>
    <w:bookmarkEnd w:id="0"/>
    <w:bookmarkEnd w:id="1"/>
    <w:bookmarkEnd w:id="2"/>
    <w:p w14:paraId="23A2F785">
      <w:pPr>
        <w:pStyle w:val="3"/>
        <w:shd w:val="clear"/>
        <w:spacing w:line="360" w:lineRule="auto"/>
        <w:jc w:val="center"/>
        <w:rPr>
          <w:rFonts w:hint="eastAsia" w:ascii="楷体" w:hAnsi="楷体" w:eastAsia="楷体" w:cs="楷体"/>
          <w:b/>
          <w:color w:val="000000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color w:val="auto"/>
          <w:sz w:val="36"/>
          <w:highlight w:val="none"/>
        </w:rPr>
        <w:t>合同条款（参考）</w:t>
      </w:r>
    </w:p>
    <w:p w14:paraId="0526D154">
      <w:pPr>
        <w:shd w:val="clear"/>
        <w:rPr>
          <w:rFonts w:hint="eastAsia" w:ascii="楷体" w:hAnsi="楷体" w:eastAsia="楷体" w:cs="楷体"/>
          <w:b/>
          <w:color w:val="000000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/>
          <w:color w:val="000000"/>
          <w:sz w:val="32"/>
          <w:szCs w:val="32"/>
          <w:highlight w:val="none"/>
        </w:rPr>
        <w:t>合同编号：</w:t>
      </w:r>
      <w:r>
        <w:rPr>
          <w:rFonts w:hint="eastAsia" w:ascii="楷体" w:hAnsi="楷体" w:eastAsia="楷体" w:cs="楷体"/>
          <w:color w:val="000000"/>
          <w:sz w:val="52"/>
          <w:szCs w:val="52"/>
          <w:highlight w:val="none"/>
        </w:rPr>
        <w:t xml:space="preserve"> </w:t>
      </w:r>
      <w:r>
        <w:rPr>
          <w:rFonts w:hint="eastAsia" w:ascii="楷体" w:hAnsi="楷体" w:eastAsia="楷体" w:cs="楷体"/>
          <w:b/>
          <w:color w:val="000000"/>
          <w:sz w:val="32"/>
          <w:szCs w:val="32"/>
          <w:highlight w:val="none"/>
        </w:rPr>
        <w:t xml:space="preserve">招采服务2025（7）号  </w:t>
      </w:r>
    </w:p>
    <w:p w14:paraId="28DE6CBC">
      <w:pPr>
        <w:shd w:val="clear"/>
        <w:rPr>
          <w:rFonts w:hint="eastAsia" w:ascii="楷体" w:hAnsi="楷体" w:eastAsia="楷体" w:cs="楷体"/>
          <w:b/>
          <w:snapToGrid w:val="0"/>
          <w:color w:val="000000"/>
          <w:sz w:val="48"/>
          <w:szCs w:val="48"/>
          <w:highlight w:val="none"/>
        </w:rPr>
      </w:pPr>
    </w:p>
    <w:p w14:paraId="66295031">
      <w:pPr>
        <w:shd w:val="clear"/>
        <w:ind w:firstLine="2405" w:firstLineChars="499"/>
        <w:rPr>
          <w:rFonts w:hint="eastAsia" w:ascii="楷体" w:hAnsi="楷体" w:eastAsia="楷体" w:cs="楷体"/>
          <w:b/>
          <w:snapToGrid w:val="0"/>
          <w:color w:val="000000"/>
          <w:sz w:val="48"/>
          <w:szCs w:val="48"/>
          <w:highlight w:val="none"/>
          <w:lang w:eastAsia="zh-CN"/>
        </w:rPr>
      </w:pPr>
      <w:r>
        <w:rPr>
          <w:rFonts w:hint="eastAsia" w:ascii="楷体" w:hAnsi="楷体" w:eastAsia="楷体" w:cs="楷体"/>
          <w:b/>
          <w:snapToGrid w:val="0"/>
          <w:color w:val="000000"/>
          <w:sz w:val="48"/>
          <w:szCs w:val="48"/>
          <w:highlight w:val="none"/>
          <w:lang w:eastAsia="zh-CN"/>
        </w:rPr>
        <w:t>西安市胸科医院</w:t>
      </w:r>
    </w:p>
    <w:p w14:paraId="79EF0B3C">
      <w:pPr>
        <w:shd w:val="clear"/>
        <w:rPr>
          <w:rFonts w:hint="eastAsia" w:ascii="楷体" w:hAnsi="楷体" w:eastAsia="楷体" w:cs="楷体"/>
          <w:b/>
          <w:snapToGrid w:val="0"/>
          <w:color w:val="000000"/>
          <w:sz w:val="40"/>
          <w:szCs w:val="48"/>
          <w:highlight w:val="none"/>
        </w:rPr>
      </w:pPr>
    </w:p>
    <w:p w14:paraId="6B39111C">
      <w:pPr>
        <w:shd w:val="clear"/>
        <w:jc w:val="center"/>
        <w:rPr>
          <w:rFonts w:hint="eastAsia" w:ascii="楷体" w:hAnsi="楷体" w:eastAsia="楷体" w:cs="楷体"/>
          <w:b/>
          <w:snapToGrid w:val="0"/>
          <w:color w:val="000000"/>
          <w:sz w:val="40"/>
          <w:szCs w:val="48"/>
          <w:highlight w:val="none"/>
        </w:rPr>
      </w:pPr>
      <w:r>
        <w:rPr>
          <w:rFonts w:hint="eastAsia" w:ascii="楷体" w:hAnsi="楷体" w:eastAsia="楷体" w:cs="楷体"/>
          <w:b/>
          <w:snapToGrid w:val="0"/>
          <w:color w:val="000000"/>
          <w:sz w:val="40"/>
          <w:szCs w:val="48"/>
          <w:highlight w:val="none"/>
        </w:rPr>
        <w:t xml:space="preserve"> </w:t>
      </w:r>
      <w:r>
        <w:rPr>
          <w:rFonts w:hint="eastAsia" w:ascii="楷体" w:hAnsi="楷体" w:eastAsia="楷体" w:cs="楷体"/>
          <w:b/>
          <w:snapToGrid w:val="0"/>
          <w:color w:val="000000"/>
          <w:sz w:val="32"/>
          <w:szCs w:val="40"/>
          <w:highlight w:val="none"/>
        </w:rPr>
        <w:t>（项目名称: 临床检验项目第三方检测机构采购项目</w:t>
      </w:r>
      <w:r>
        <w:rPr>
          <w:rFonts w:hint="eastAsia" w:ascii="楷体" w:hAnsi="楷体" w:eastAsia="楷体" w:cs="楷体"/>
          <w:b/>
          <w:snapToGrid w:val="0"/>
          <w:color w:val="000000"/>
          <w:sz w:val="32"/>
          <w:szCs w:val="40"/>
          <w:highlight w:val="none"/>
          <w:u w:val="single"/>
          <w:lang w:val="en-US" w:eastAsia="zh-CN"/>
        </w:rPr>
        <w:t xml:space="preserve"> </w:t>
      </w:r>
      <w:r>
        <w:rPr>
          <w:rFonts w:hint="eastAsia" w:ascii="楷体" w:hAnsi="楷体" w:eastAsia="楷体" w:cs="楷体"/>
          <w:b/>
          <w:snapToGrid w:val="0"/>
          <w:color w:val="000000"/>
          <w:sz w:val="32"/>
          <w:szCs w:val="40"/>
          <w:highlight w:val="none"/>
          <w:lang w:val="en-US" w:eastAsia="zh-CN"/>
        </w:rPr>
        <w:t xml:space="preserve"> </w:t>
      </w:r>
      <w:r>
        <w:rPr>
          <w:rFonts w:hint="eastAsia" w:ascii="楷体" w:hAnsi="楷体" w:eastAsia="楷体" w:cs="楷体"/>
          <w:b/>
          <w:snapToGrid w:val="0"/>
          <w:color w:val="000000"/>
          <w:sz w:val="32"/>
          <w:szCs w:val="40"/>
          <w:highlight w:val="none"/>
        </w:rPr>
        <w:t>）</w:t>
      </w:r>
    </w:p>
    <w:p w14:paraId="4D7ED6CA">
      <w:pPr>
        <w:pStyle w:val="8"/>
        <w:shd w:val="clear"/>
        <w:rPr>
          <w:rFonts w:hint="eastAsia" w:ascii="楷体" w:hAnsi="楷体" w:eastAsia="楷体" w:cs="楷体"/>
          <w:b/>
          <w:snapToGrid w:val="0"/>
          <w:color w:val="000000"/>
          <w:sz w:val="48"/>
          <w:szCs w:val="48"/>
          <w:highlight w:val="none"/>
        </w:rPr>
      </w:pPr>
    </w:p>
    <w:p w14:paraId="150D29EF">
      <w:pPr>
        <w:pStyle w:val="8"/>
        <w:shd w:val="clear"/>
        <w:rPr>
          <w:rFonts w:hint="eastAsia" w:ascii="楷体" w:hAnsi="楷体" w:eastAsia="楷体" w:cs="楷体"/>
          <w:b/>
          <w:snapToGrid w:val="0"/>
          <w:color w:val="000000"/>
          <w:sz w:val="48"/>
          <w:szCs w:val="48"/>
          <w:highlight w:val="none"/>
        </w:rPr>
      </w:pPr>
    </w:p>
    <w:p w14:paraId="7006AC1C">
      <w:pPr>
        <w:shd w:val="clear"/>
        <w:jc w:val="center"/>
        <w:rPr>
          <w:rFonts w:hint="eastAsia" w:ascii="楷体" w:hAnsi="楷体" w:eastAsia="楷体" w:cs="楷体"/>
          <w:b/>
          <w:color w:val="000000"/>
          <w:sz w:val="72"/>
          <w:szCs w:val="72"/>
          <w:highlight w:val="none"/>
        </w:rPr>
      </w:pPr>
      <w:r>
        <w:rPr>
          <w:rFonts w:hint="eastAsia" w:ascii="楷体" w:hAnsi="楷体" w:eastAsia="楷体" w:cs="楷体"/>
          <w:b/>
          <w:color w:val="000000"/>
          <w:sz w:val="72"/>
          <w:szCs w:val="72"/>
          <w:highlight w:val="none"/>
        </w:rPr>
        <w:t>服 务 合 同</w:t>
      </w:r>
    </w:p>
    <w:p w14:paraId="546C9C94">
      <w:pPr>
        <w:pStyle w:val="2"/>
        <w:shd w:val="clear"/>
        <w:rPr>
          <w:rFonts w:hint="eastAsia" w:ascii="楷体" w:hAnsi="楷体" w:eastAsia="楷体" w:cs="楷体"/>
          <w:color w:val="000000"/>
          <w:sz w:val="40"/>
          <w:szCs w:val="40"/>
          <w:highlight w:val="none"/>
        </w:rPr>
      </w:pPr>
    </w:p>
    <w:p w14:paraId="1110471D">
      <w:pPr>
        <w:shd w:val="clear"/>
        <w:jc w:val="center"/>
        <w:rPr>
          <w:rFonts w:hint="eastAsia" w:ascii="楷体" w:hAnsi="楷体" w:eastAsia="楷体" w:cs="楷体"/>
          <w:b/>
          <w:snapToGrid w:val="0"/>
          <w:color w:val="000000"/>
          <w:sz w:val="40"/>
          <w:szCs w:val="48"/>
          <w:highlight w:val="none"/>
        </w:rPr>
      </w:pPr>
      <w:r>
        <w:rPr>
          <w:rFonts w:hint="eastAsia" w:ascii="楷体" w:hAnsi="楷体" w:eastAsia="楷体" w:cs="楷体"/>
          <w:b/>
          <w:snapToGrid w:val="0"/>
          <w:color w:val="000000"/>
          <w:sz w:val="40"/>
          <w:szCs w:val="48"/>
          <w:highlight w:val="none"/>
        </w:rPr>
        <w:t>（项目编号: ）</w:t>
      </w:r>
    </w:p>
    <w:p w14:paraId="5E22E590">
      <w:pPr>
        <w:shd w:val="clear"/>
        <w:jc w:val="both"/>
        <w:rPr>
          <w:rFonts w:hint="eastAsia" w:ascii="楷体" w:hAnsi="楷体" w:eastAsia="楷体" w:cs="楷体"/>
          <w:color w:val="000000"/>
          <w:sz w:val="30"/>
          <w:szCs w:val="30"/>
          <w:highlight w:val="none"/>
        </w:rPr>
      </w:pPr>
    </w:p>
    <w:p w14:paraId="07EBA7EF">
      <w:pPr>
        <w:shd w:val="clear"/>
        <w:jc w:val="center"/>
        <w:rPr>
          <w:rFonts w:hint="eastAsia" w:ascii="楷体" w:hAnsi="楷体" w:eastAsia="楷体" w:cs="楷体"/>
          <w:color w:val="000000"/>
          <w:sz w:val="30"/>
          <w:szCs w:val="30"/>
          <w:highlight w:val="none"/>
        </w:rPr>
      </w:pPr>
    </w:p>
    <w:p w14:paraId="2B333FEB">
      <w:pPr>
        <w:shd w:val="clear"/>
        <w:ind w:firstLine="1120" w:firstLineChars="400"/>
        <w:rPr>
          <w:rFonts w:hint="eastAsia" w:ascii="楷体" w:hAnsi="楷体" w:eastAsia="楷体" w:cs="楷体"/>
          <w:color w:val="000000"/>
          <w:sz w:val="28"/>
          <w:szCs w:val="28"/>
          <w:highlight w:val="none"/>
        </w:rPr>
      </w:pPr>
      <w:r>
        <w:rPr>
          <w:rFonts w:hint="eastAsia" w:ascii="楷体" w:hAnsi="楷体" w:eastAsia="楷体" w:cs="楷体"/>
          <w:color w:val="000000"/>
          <w:sz w:val="28"/>
          <w:szCs w:val="28"/>
          <w:highlight w:val="none"/>
        </w:rPr>
        <w:t>甲  方：</w:t>
      </w:r>
      <w:r>
        <w:rPr>
          <w:rFonts w:hint="eastAsia" w:ascii="楷体" w:hAnsi="楷体" w:eastAsia="楷体" w:cs="楷体"/>
          <w:color w:val="000000"/>
          <w:sz w:val="28"/>
          <w:szCs w:val="28"/>
          <w:highlight w:val="none"/>
          <w:lang w:eastAsia="zh-CN"/>
        </w:rPr>
        <w:t>西安市胸科医院</w:t>
      </w:r>
      <w:r>
        <w:rPr>
          <w:rFonts w:hint="eastAsia" w:ascii="楷体" w:hAnsi="楷体" w:eastAsia="楷体" w:cs="楷体"/>
          <w:color w:val="000000"/>
          <w:sz w:val="28"/>
          <w:szCs w:val="28"/>
          <w:highlight w:val="none"/>
        </w:rPr>
        <w:t xml:space="preserve"> </w:t>
      </w:r>
    </w:p>
    <w:p w14:paraId="1132B15C">
      <w:pPr>
        <w:shd w:val="clear"/>
        <w:jc w:val="left"/>
        <w:rPr>
          <w:rFonts w:hint="eastAsia" w:ascii="楷体" w:hAnsi="楷体" w:eastAsia="楷体" w:cs="楷体"/>
          <w:color w:val="000000"/>
          <w:sz w:val="28"/>
          <w:szCs w:val="28"/>
          <w:highlight w:val="none"/>
        </w:rPr>
      </w:pPr>
      <w:r>
        <w:rPr>
          <w:rFonts w:hint="eastAsia" w:ascii="楷体" w:hAnsi="楷体" w:eastAsia="楷体" w:cs="楷体"/>
          <w:color w:val="000000"/>
          <w:sz w:val="28"/>
          <w:szCs w:val="28"/>
          <w:highlight w:val="none"/>
        </w:rPr>
        <w:t xml:space="preserve">        乙  方：</w:t>
      </w:r>
    </w:p>
    <w:p w14:paraId="387BB42E">
      <w:pPr>
        <w:pStyle w:val="2"/>
        <w:shd w:val="clear"/>
        <w:rPr>
          <w:rFonts w:hint="eastAsia" w:ascii="楷体" w:hAnsi="楷体" w:eastAsia="楷体" w:cs="楷体"/>
          <w:color w:val="000000"/>
          <w:sz w:val="30"/>
          <w:szCs w:val="30"/>
          <w:highlight w:val="none"/>
        </w:rPr>
      </w:pPr>
      <w:r>
        <w:rPr>
          <w:rFonts w:hint="eastAsia" w:ascii="楷体" w:hAnsi="楷体" w:eastAsia="楷体" w:cs="楷体"/>
          <w:color w:val="000000"/>
          <w:sz w:val="28"/>
          <w:szCs w:val="28"/>
          <w:highlight w:val="none"/>
          <w:lang w:val="en-US" w:eastAsia="zh-CN"/>
        </w:rPr>
        <w:t xml:space="preserve">        鉴证方：</w:t>
      </w:r>
      <w:r>
        <w:rPr>
          <w:rFonts w:hint="eastAsia" w:ascii="楷体" w:hAnsi="楷体" w:eastAsia="楷体" w:cs="楷体"/>
          <w:b/>
          <w:color w:val="auto"/>
          <w:sz w:val="28"/>
          <w:highlight w:val="none"/>
        </w:rPr>
        <w:t>龙寰项目管理咨询有限公司</w:t>
      </w:r>
    </w:p>
    <w:p w14:paraId="1BD98C7A">
      <w:pPr>
        <w:shd w:val="clear"/>
        <w:jc w:val="center"/>
        <w:rPr>
          <w:rFonts w:hint="eastAsia" w:ascii="楷体" w:hAnsi="楷体" w:eastAsia="楷体" w:cs="楷体"/>
          <w:color w:val="000000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color w:val="000000"/>
          <w:sz w:val="32"/>
          <w:szCs w:val="32"/>
          <w:highlight w:val="none"/>
        </w:rPr>
        <w:t>202</w:t>
      </w:r>
      <w:r>
        <w:rPr>
          <w:rFonts w:hint="eastAsia" w:ascii="楷体" w:hAnsi="楷体" w:eastAsia="楷体" w:cs="楷体"/>
          <w:color w:val="00000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楷体" w:hAnsi="楷体" w:eastAsia="楷体" w:cs="楷体"/>
          <w:color w:val="000000"/>
          <w:sz w:val="32"/>
          <w:szCs w:val="32"/>
          <w:highlight w:val="none"/>
        </w:rPr>
        <w:t>年 月</w:t>
      </w:r>
    </w:p>
    <w:p w14:paraId="64BF9AB0">
      <w:pPr>
        <w:shd w:val="clear"/>
        <w:jc w:val="center"/>
        <w:rPr>
          <w:rFonts w:hint="eastAsia" w:ascii="楷体" w:hAnsi="楷体" w:eastAsia="楷体" w:cs="楷体"/>
          <w:color w:val="000000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color w:val="000000"/>
          <w:sz w:val="32"/>
          <w:szCs w:val="32"/>
          <w:highlight w:val="none"/>
        </w:rPr>
        <w:t>中国  西安</w:t>
      </w:r>
    </w:p>
    <w:p w14:paraId="69EBA541">
      <w:pPr>
        <w:shd w:val="clear"/>
        <w:rPr>
          <w:rFonts w:hint="eastAsia" w:ascii="楷体" w:hAnsi="楷体" w:eastAsia="楷体" w:cs="楷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24"/>
          <w:szCs w:val="24"/>
          <w:highlight w:val="none"/>
          <w:lang w:val="en-US" w:eastAsia="zh-CN"/>
        </w:rPr>
        <w:br w:type="page"/>
      </w:r>
    </w:p>
    <w:p w14:paraId="106D32F4"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480" w:firstLineChars="200"/>
        <w:jc w:val="left"/>
        <w:textAlignment w:val="auto"/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color w:val="auto"/>
          <w:sz w:val="24"/>
          <w:szCs w:val="24"/>
          <w:highlight w:val="none"/>
          <w:lang w:val="en-US" w:eastAsia="zh-CN"/>
        </w:rPr>
        <w:t>甲</w:t>
      </w:r>
      <w:r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  <w:t>方：</w:t>
      </w:r>
      <w:r>
        <w:rPr>
          <w:rFonts w:hint="eastAsia" w:ascii="楷体" w:hAnsi="楷体" w:eastAsia="楷体" w:cs="楷体"/>
          <w:color w:val="auto"/>
          <w:sz w:val="24"/>
          <w:szCs w:val="24"/>
          <w:highlight w:val="none"/>
          <w:lang w:val="en-US" w:eastAsia="zh-CN"/>
        </w:rPr>
        <w:t>西安市胸科医院</w:t>
      </w:r>
    </w:p>
    <w:p w14:paraId="49073AD5"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480" w:firstLineChars="200"/>
        <w:jc w:val="left"/>
        <w:textAlignment w:val="auto"/>
        <w:rPr>
          <w:rFonts w:hint="eastAsia" w:ascii="楷体" w:hAnsi="楷体" w:eastAsia="楷体" w:cs="楷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24"/>
          <w:szCs w:val="24"/>
          <w:highlight w:val="none"/>
          <w:lang w:val="en-US" w:eastAsia="zh-CN"/>
        </w:rPr>
        <w:t>乙方</w:t>
      </w:r>
      <w:r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  <w:t>：</w:t>
      </w:r>
      <w:r>
        <w:rPr>
          <w:rFonts w:hint="eastAsia" w:ascii="楷体" w:hAnsi="楷体" w:eastAsia="楷体" w:cs="楷体"/>
          <w:color w:val="auto"/>
          <w:sz w:val="24"/>
          <w:szCs w:val="24"/>
          <w:highlight w:val="none"/>
          <w:lang w:val="en-US" w:eastAsia="zh-CN"/>
        </w:rPr>
        <w:t xml:space="preserve">  </w:t>
      </w:r>
    </w:p>
    <w:p w14:paraId="7A75DF4F"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480" w:firstLineChars="200"/>
        <w:jc w:val="left"/>
        <w:textAlignment w:val="auto"/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color w:val="auto"/>
          <w:sz w:val="24"/>
          <w:szCs w:val="24"/>
          <w:highlight w:val="none"/>
          <w:lang w:val="en-US" w:eastAsia="zh-CN"/>
        </w:rPr>
        <w:t>鉴证方： 龙寰项目管理咨询有限公司</w:t>
      </w:r>
    </w:p>
    <w:p w14:paraId="288D0E89"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480" w:firstLineChars="200"/>
        <w:jc w:val="left"/>
        <w:textAlignment w:val="auto"/>
        <w:rPr>
          <w:rFonts w:hint="eastAsia" w:ascii="楷体" w:hAnsi="楷体" w:eastAsia="楷体" w:cs="楷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  <w:t>一、</w:t>
      </w:r>
      <w:r>
        <w:rPr>
          <w:rFonts w:hint="eastAsia" w:ascii="楷体" w:hAnsi="楷体" w:eastAsia="楷体" w:cs="楷体"/>
          <w:b/>
          <w:bCs/>
          <w:color w:val="auto"/>
          <w:sz w:val="24"/>
          <w:szCs w:val="24"/>
          <w:highlight w:val="none"/>
          <w:lang w:val="en-US" w:eastAsia="zh-CN"/>
        </w:rPr>
        <w:t>服务</w:t>
      </w:r>
      <w:r>
        <w:rPr>
          <w:rFonts w:hint="eastAsia" w:ascii="楷体" w:hAnsi="楷体" w:eastAsia="楷体" w:cs="楷体"/>
          <w:b/>
          <w:bCs/>
          <w:color w:val="auto"/>
          <w:sz w:val="24"/>
          <w:szCs w:val="24"/>
          <w:highlight w:val="none"/>
        </w:rPr>
        <w:t>方式</w:t>
      </w:r>
    </w:p>
    <w:p w14:paraId="46E64488"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480" w:firstLineChars="200"/>
        <w:jc w:val="left"/>
        <w:textAlignment w:val="auto"/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  <w:t>甲方将检验标本委托给乙方进行检验；乙方为甲方提供检验报告，并收取甲方检验服务费。</w:t>
      </w:r>
    </w:p>
    <w:p w14:paraId="2A226035"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482" w:firstLineChars="200"/>
        <w:jc w:val="left"/>
        <w:textAlignment w:val="auto"/>
        <w:rPr>
          <w:rFonts w:hint="eastAsia" w:ascii="楷体" w:hAnsi="楷体" w:eastAsia="楷体" w:cs="楷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b/>
          <w:bCs/>
          <w:color w:val="auto"/>
          <w:sz w:val="24"/>
          <w:szCs w:val="24"/>
          <w:highlight w:val="none"/>
        </w:rPr>
        <w:t>二、</w:t>
      </w:r>
      <w:r>
        <w:rPr>
          <w:rFonts w:hint="eastAsia" w:ascii="楷体" w:hAnsi="楷体" w:eastAsia="楷体" w:cs="楷体"/>
          <w:b/>
          <w:bCs/>
          <w:color w:val="auto"/>
          <w:sz w:val="24"/>
          <w:szCs w:val="24"/>
          <w:highlight w:val="none"/>
          <w:lang w:val="en-US" w:eastAsia="zh-CN"/>
        </w:rPr>
        <w:t>服务</w:t>
      </w:r>
      <w:r>
        <w:rPr>
          <w:rFonts w:hint="eastAsia" w:ascii="楷体" w:hAnsi="楷体" w:eastAsia="楷体" w:cs="楷体"/>
          <w:b/>
          <w:bCs/>
          <w:color w:val="auto"/>
          <w:sz w:val="24"/>
          <w:szCs w:val="24"/>
          <w:highlight w:val="none"/>
        </w:rPr>
        <w:t>期限</w:t>
      </w:r>
    </w:p>
    <w:p w14:paraId="41D11E60"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480" w:firstLineChars="200"/>
        <w:jc w:val="left"/>
        <w:textAlignment w:val="auto"/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  <w:t>委托期限为自</w:t>
      </w:r>
      <w:r>
        <w:rPr>
          <w:rFonts w:hint="eastAsia" w:ascii="楷体" w:hAnsi="楷体" w:eastAsia="楷体" w:cs="楷体"/>
          <w:color w:val="auto"/>
          <w:sz w:val="24"/>
          <w:szCs w:val="24"/>
          <w:highlight w:val="yellow"/>
          <w:u w:val="single"/>
          <w:lang w:val="en-US" w:eastAsia="zh-CN"/>
        </w:rPr>
        <w:t>合同签订之日起一年</w:t>
      </w:r>
      <w:r>
        <w:rPr>
          <w:rFonts w:hint="eastAsia" w:ascii="楷体" w:hAnsi="楷体" w:eastAsia="楷体" w:cs="楷体"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  <w:t>在合同有效期内，如果甲方按照合同项采购服务，当采购金额达合同中标金额后，合同自动终止。</w:t>
      </w:r>
    </w:p>
    <w:p w14:paraId="18ECCF39"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482" w:firstLineChars="200"/>
        <w:jc w:val="left"/>
        <w:textAlignment w:val="auto"/>
        <w:rPr>
          <w:rFonts w:hint="eastAsia" w:ascii="楷体" w:hAnsi="楷体" w:eastAsia="楷体" w:cs="楷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b/>
          <w:bCs/>
          <w:color w:val="auto"/>
          <w:sz w:val="24"/>
          <w:szCs w:val="24"/>
          <w:highlight w:val="none"/>
        </w:rPr>
        <w:t>三、服务范围</w:t>
      </w:r>
    </w:p>
    <w:p w14:paraId="5C35DCEE"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480" w:firstLineChars="200"/>
        <w:textAlignment w:val="auto"/>
        <w:rPr>
          <w:rFonts w:hint="eastAsia" w:ascii="楷体" w:hAnsi="楷体" w:eastAsia="楷体" w:cs="楷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  <w:t>附件</w:t>
      </w:r>
      <w:r>
        <w:rPr>
          <w:rFonts w:hint="eastAsia" w:ascii="楷体" w:hAnsi="楷体" w:eastAsia="楷体" w:cs="楷体"/>
          <w:color w:val="auto"/>
          <w:sz w:val="24"/>
          <w:szCs w:val="24"/>
          <w:highlight w:val="none"/>
          <w:lang w:val="en-US" w:eastAsia="zh-CN"/>
        </w:rPr>
        <w:t>1中的</w:t>
      </w:r>
      <w:r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  <w:t>项目及甲方需要但暂未开展的其他项目</w:t>
      </w:r>
      <w:r>
        <w:rPr>
          <w:rFonts w:hint="eastAsia" w:ascii="楷体" w:hAnsi="楷体" w:eastAsia="楷体" w:cs="楷体"/>
          <w:color w:val="auto"/>
          <w:sz w:val="24"/>
          <w:szCs w:val="24"/>
          <w:highlight w:val="none"/>
          <w:lang w:eastAsia="zh-CN"/>
        </w:rPr>
        <w:t>。</w:t>
      </w:r>
    </w:p>
    <w:p w14:paraId="610B7E2F"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482" w:firstLineChars="200"/>
        <w:jc w:val="left"/>
        <w:textAlignment w:val="auto"/>
        <w:rPr>
          <w:rFonts w:hint="eastAsia" w:ascii="楷体" w:hAnsi="楷体" w:eastAsia="楷体" w:cs="楷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b/>
          <w:bCs/>
          <w:color w:val="auto"/>
          <w:sz w:val="24"/>
          <w:szCs w:val="24"/>
          <w:highlight w:val="none"/>
        </w:rPr>
        <w:t>四、双方的权利与义务</w:t>
      </w:r>
    </w:p>
    <w:p w14:paraId="433E61D4"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482" w:firstLineChars="200"/>
        <w:jc w:val="left"/>
        <w:textAlignment w:val="auto"/>
        <w:rPr>
          <w:rFonts w:hint="eastAsia" w:ascii="楷体" w:hAnsi="楷体" w:eastAsia="楷体" w:cs="楷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b/>
          <w:bCs/>
          <w:color w:val="auto"/>
          <w:sz w:val="24"/>
          <w:szCs w:val="24"/>
          <w:highlight w:val="none"/>
        </w:rPr>
        <w:t xml:space="preserve">（一）甲方的权利与义务 </w:t>
      </w:r>
    </w:p>
    <w:p w14:paraId="45ADE7D1">
      <w:pPr>
        <w:pStyle w:val="2"/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562"/>
        <w:textAlignment w:val="auto"/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  <w:t>1、甲方将检测所需项目交由乙方检测。</w:t>
      </w:r>
    </w:p>
    <w:p w14:paraId="794059B9">
      <w:pPr>
        <w:pStyle w:val="5"/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480" w:firstLineChars="200"/>
        <w:textAlignment w:val="auto"/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  <w:t>2、甲方向乙方提供被检者的相关信息、采集标准等要求，或由乙方工作人员去甲方所在地取样，甲方安排专人与乙方工作人员交接签收。</w:t>
      </w:r>
    </w:p>
    <w:p w14:paraId="44542510">
      <w:pPr>
        <w:pStyle w:val="5"/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480" w:firstLineChars="200"/>
        <w:textAlignment w:val="auto"/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  <w:t>3、甲方对乙方提交的检测结果有异议应当在收到报告7日内提出，如在上述期限内没有提出异议，乙方将视同甲方完全同意接受检测结果。</w:t>
      </w:r>
    </w:p>
    <w:p w14:paraId="60F3CF6A"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482" w:firstLineChars="200"/>
        <w:textAlignment w:val="auto"/>
        <w:rPr>
          <w:rFonts w:hint="eastAsia" w:ascii="楷体" w:hAnsi="楷体" w:eastAsia="楷体" w:cs="楷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b/>
          <w:bCs/>
          <w:color w:val="auto"/>
          <w:sz w:val="24"/>
          <w:szCs w:val="24"/>
          <w:highlight w:val="none"/>
        </w:rPr>
        <w:t>（二）乙方的权利与义务</w:t>
      </w:r>
    </w:p>
    <w:p w14:paraId="7F14E155"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480" w:firstLineChars="200"/>
        <w:jc w:val="left"/>
        <w:textAlignment w:val="auto"/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  <w:t>1、提供每周六天上门收样，节假日隔日收样。收样日规定时间前取走样本，特殊样本/情况2小时内完成收样。具备医疗冷链物流团队，专用信息平台对冷链实时监控。</w:t>
      </w:r>
    </w:p>
    <w:p w14:paraId="733C2014">
      <w:pPr>
        <w:pStyle w:val="5"/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480" w:firstLineChars="200"/>
        <w:textAlignment w:val="auto"/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  <w:t>2、乙方保证对甲方所送检的合格标本按照甲方要求完成检测，不符合检测要求的标本，乙方有权拒收；如甲方坚持要求检测的，乙方对检测结果不承担责任。</w:t>
      </w:r>
    </w:p>
    <w:p w14:paraId="5DC129AC">
      <w:pPr>
        <w:pStyle w:val="5"/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480" w:firstLineChars="200"/>
        <w:textAlignment w:val="auto"/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  <w:t>3、乙方按承诺按约定时间发出报告，发送方式双方协商确定。</w:t>
      </w:r>
    </w:p>
    <w:p w14:paraId="3B6D3AF6">
      <w:pPr>
        <w:pStyle w:val="5"/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480" w:firstLineChars="200"/>
        <w:textAlignment w:val="auto"/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  <w:t>4、自甲方提供资料之日起，乙方有责任对送检标本进行安全处置（特殊情况除外），同时将送检标本及检测结果的相关信息严格保密，保密条款长期有效。</w:t>
      </w:r>
    </w:p>
    <w:p w14:paraId="131B55F0">
      <w:pPr>
        <w:pStyle w:val="5"/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480" w:firstLineChars="200"/>
        <w:textAlignment w:val="auto"/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  <w:t>5、乙方应对检测结果的真实、完整、正确性负责，如因乙方故意或重大过失造成检测结果错误，造成甲方损失，应赔偿甲方的损失。</w:t>
      </w:r>
    </w:p>
    <w:p w14:paraId="4BDB7517">
      <w:pPr>
        <w:pStyle w:val="5"/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480" w:firstLineChars="200"/>
        <w:textAlignment w:val="auto"/>
        <w:rPr>
          <w:rFonts w:hint="eastAsia" w:ascii="楷体" w:hAnsi="楷体" w:eastAsia="楷体" w:cs="楷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24"/>
          <w:szCs w:val="24"/>
          <w:highlight w:val="none"/>
          <w:lang w:val="en-US" w:eastAsia="zh-CN"/>
        </w:rPr>
        <w:t>6、提供用于待送检标本冷藏冰箱1台，容量≥50L。</w:t>
      </w:r>
    </w:p>
    <w:p w14:paraId="1D2EB9E9">
      <w:pPr>
        <w:pStyle w:val="5"/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480" w:firstLineChars="200"/>
        <w:textAlignment w:val="auto"/>
        <w:rPr>
          <w:rFonts w:hint="eastAsia" w:ascii="楷体" w:hAnsi="楷体" w:eastAsia="楷体" w:cs="楷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24"/>
          <w:szCs w:val="24"/>
          <w:highlight w:val="none"/>
          <w:lang w:val="en-US" w:eastAsia="zh-CN"/>
        </w:rPr>
        <w:t>7、提供特殊检验项目标本集容器。</w:t>
      </w:r>
    </w:p>
    <w:p w14:paraId="2FA82A1D">
      <w:pPr>
        <w:pStyle w:val="5"/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480" w:firstLineChars="200"/>
        <w:textAlignment w:val="auto"/>
        <w:rPr>
          <w:rFonts w:hint="eastAsia" w:ascii="楷体" w:hAnsi="楷体" w:eastAsia="楷体" w:cs="楷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24"/>
          <w:szCs w:val="24"/>
          <w:highlight w:val="none"/>
          <w:lang w:val="en-US" w:eastAsia="zh-CN"/>
        </w:rPr>
        <w:t>8、提供可与甲方信息对接的计算机系统。自助传输结果至甲方lis系统。具备实现区域检验报告互认的基础。</w:t>
      </w:r>
    </w:p>
    <w:p w14:paraId="0C6C7188">
      <w:pPr>
        <w:pStyle w:val="5"/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480" w:firstLineChars="200"/>
        <w:textAlignment w:val="auto"/>
        <w:rPr>
          <w:rFonts w:hint="eastAsia" w:ascii="楷体" w:hAnsi="楷体" w:eastAsia="楷体" w:cs="楷体"/>
          <w:color w:val="auto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24"/>
          <w:szCs w:val="24"/>
          <w:highlight w:val="none"/>
          <w:lang w:val="en-US" w:eastAsia="zh-CN"/>
        </w:rPr>
        <w:t>9、乙方按约定时间发出报告，发送方式为：</w:t>
      </w:r>
      <w:r>
        <w:rPr>
          <w:rFonts w:hint="eastAsia" w:ascii="楷体" w:hAnsi="楷体" w:eastAsia="楷体" w:cs="楷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。</w:t>
      </w:r>
      <w:r>
        <w:rPr>
          <w:rFonts w:hint="eastAsia" w:ascii="楷体" w:hAnsi="楷体" w:eastAsia="楷体" w:cs="楷体"/>
          <w:color w:val="auto"/>
          <w:sz w:val="24"/>
          <w:szCs w:val="24"/>
          <w:highlight w:val="none"/>
          <w:u w:val="none"/>
          <w:lang w:val="en-US" w:eastAsia="zh-CN"/>
        </w:rPr>
        <w:t>未经系统传输结果的报告，审核后24小时内送至甲方。</w:t>
      </w:r>
    </w:p>
    <w:p w14:paraId="38D6C4FB"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480" w:firstLineChars="200"/>
        <w:textAlignment w:val="auto"/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color w:val="auto"/>
          <w:sz w:val="24"/>
          <w:szCs w:val="24"/>
          <w:highlight w:val="none"/>
          <w:u w:val="none"/>
          <w:lang w:val="en-US" w:eastAsia="zh-CN"/>
        </w:rPr>
        <w:t>10、</w:t>
      </w:r>
      <w:r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  <w:t>乙方对出具的检测报告负法律责任。</w:t>
      </w:r>
    </w:p>
    <w:p w14:paraId="71D6F96C">
      <w:pPr>
        <w:pStyle w:val="5"/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480" w:firstLineChars="200"/>
        <w:textAlignment w:val="auto"/>
        <w:rPr>
          <w:rFonts w:hint="eastAsia" w:ascii="楷体" w:hAnsi="楷体" w:eastAsia="楷体" w:cs="楷体"/>
          <w:color w:val="auto"/>
          <w:sz w:val="24"/>
          <w:szCs w:val="24"/>
          <w:highlight w:val="none"/>
          <w:u w:val="none"/>
          <w:lang w:val="en-US" w:eastAsia="zh-CN"/>
        </w:rPr>
      </w:pPr>
    </w:p>
    <w:p w14:paraId="11B685EB"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482" w:firstLineChars="200"/>
        <w:jc w:val="left"/>
        <w:textAlignment w:val="auto"/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b/>
          <w:bCs/>
          <w:color w:val="auto"/>
          <w:sz w:val="24"/>
          <w:szCs w:val="24"/>
          <w:highlight w:val="none"/>
        </w:rPr>
        <w:t>五、检验费用</w:t>
      </w:r>
    </w:p>
    <w:p w14:paraId="2C3E86DF"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0" w:rightChars="0"/>
        <w:jc w:val="left"/>
        <w:textAlignment w:val="auto"/>
        <w:rPr>
          <w:rFonts w:hint="eastAsia" w:ascii="楷体" w:hAnsi="楷体" w:eastAsia="楷体" w:cs="楷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24"/>
          <w:szCs w:val="24"/>
          <w:highlight w:val="none"/>
          <w:lang w:val="en-US" w:eastAsia="zh-CN"/>
        </w:rPr>
        <w:t xml:space="preserve">    （附清单）</w:t>
      </w:r>
    </w:p>
    <w:p w14:paraId="07E5D25B"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0" w:rightChars="0" w:firstLine="480" w:firstLineChars="200"/>
        <w:jc w:val="left"/>
        <w:textAlignment w:val="auto"/>
        <w:rPr>
          <w:rFonts w:hint="eastAsia" w:ascii="楷体" w:hAnsi="楷体" w:eastAsia="楷体" w:cs="楷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24"/>
          <w:szCs w:val="24"/>
          <w:highlight w:val="none"/>
          <w:lang w:val="en-US" w:eastAsia="zh-CN"/>
        </w:rPr>
        <w:t>结算比例：</w:t>
      </w:r>
      <w:r>
        <w:rPr>
          <w:rFonts w:hint="eastAsia" w:ascii="楷体" w:hAnsi="楷体" w:eastAsia="楷体" w:cs="楷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楷体" w:hAnsi="楷体" w:eastAsia="楷体" w:cs="楷体"/>
          <w:color w:val="auto"/>
          <w:sz w:val="24"/>
          <w:szCs w:val="24"/>
          <w:highlight w:val="none"/>
          <w:lang w:val="en-US" w:eastAsia="zh-CN"/>
        </w:rPr>
        <w:t>%。</w:t>
      </w:r>
    </w:p>
    <w:p w14:paraId="64EE63E3"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482" w:firstLineChars="200"/>
        <w:jc w:val="left"/>
        <w:textAlignment w:val="auto"/>
        <w:rPr>
          <w:rFonts w:hint="eastAsia" w:ascii="楷体" w:hAnsi="楷体" w:eastAsia="楷体" w:cs="楷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楷体" w:hAnsi="楷体" w:eastAsia="楷体" w:cs="楷体"/>
          <w:b/>
          <w:bCs/>
          <w:color w:val="auto"/>
          <w:sz w:val="24"/>
          <w:szCs w:val="24"/>
          <w:highlight w:val="none"/>
          <w:lang w:eastAsia="zh-CN"/>
        </w:rPr>
        <w:t>六</w:t>
      </w:r>
      <w:r>
        <w:rPr>
          <w:rFonts w:hint="eastAsia" w:ascii="楷体" w:hAnsi="楷体" w:eastAsia="楷体" w:cs="楷体"/>
          <w:b/>
          <w:bCs/>
          <w:color w:val="auto"/>
          <w:sz w:val="24"/>
          <w:szCs w:val="24"/>
          <w:highlight w:val="none"/>
        </w:rPr>
        <w:t>、</w:t>
      </w:r>
      <w:r>
        <w:rPr>
          <w:rFonts w:hint="eastAsia" w:ascii="楷体" w:hAnsi="楷体" w:eastAsia="楷体" w:cs="楷体"/>
          <w:b/>
          <w:bCs/>
          <w:color w:val="auto"/>
          <w:sz w:val="24"/>
          <w:szCs w:val="24"/>
          <w:highlight w:val="none"/>
          <w:lang w:eastAsia="zh-CN"/>
        </w:rPr>
        <w:t>质量保证和培训</w:t>
      </w:r>
    </w:p>
    <w:p w14:paraId="230DE995"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0" w:rightChars="0" w:firstLine="480"/>
        <w:jc w:val="left"/>
        <w:textAlignment w:val="auto"/>
        <w:rPr>
          <w:rFonts w:hint="eastAsia" w:ascii="楷体" w:hAnsi="楷体" w:eastAsia="楷体" w:cs="楷体"/>
          <w:color w:val="auto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楷体" w:hAnsi="楷体" w:eastAsia="楷体" w:cs="楷体"/>
          <w:color w:val="auto"/>
          <w:kern w:val="2"/>
          <w:sz w:val="24"/>
          <w:szCs w:val="24"/>
          <w:highlight w:val="none"/>
          <w:lang w:val="en-US" w:eastAsia="zh-CN" w:bidi="ar-SA"/>
        </w:rPr>
        <w:t>1、</w:t>
      </w:r>
      <w:r>
        <w:rPr>
          <w:rFonts w:hint="eastAsia" w:ascii="楷体" w:hAnsi="楷体" w:eastAsia="楷体" w:cs="楷体"/>
          <w:color w:val="auto"/>
          <w:sz w:val="24"/>
          <w:szCs w:val="24"/>
          <w:highlight w:val="none"/>
          <w:lang w:val="en-US" w:eastAsia="zh-CN"/>
        </w:rPr>
        <w:t>对甲方提出问题</w:t>
      </w:r>
      <w:r>
        <w:rPr>
          <w:rFonts w:hint="eastAsia" w:ascii="楷体" w:hAnsi="楷体" w:eastAsia="楷体" w:cs="楷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color w:val="auto"/>
          <w:sz w:val="24"/>
          <w:szCs w:val="24"/>
          <w:highlight w:val="none"/>
          <w:u w:val="none"/>
          <w:lang w:val="en-US" w:eastAsia="zh-CN"/>
        </w:rPr>
        <w:t>小时内响应</w:t>
      </w:r>
      <w:r>
        <w:rPr>
          <w:rFonts w:hint="eastAsia" w:ascii="楷体" w:hAnsi="楷体" w:eastAsia="楷体" w:cs="楷体"/>
          <w:color w:val="auto"/>
          <w:sz w:val="24"/>
          <w:szCs w:val="24"/>
          <w:highlight w:val="none"/>
          <w:u w:val="single"/>
          <w:lang w:val="en-US" w:eastAsia="zh-CN"/>
        </w:rPr>
        <w:t xml:space="preserve">，   </w:t>
      </w:r>
      <w:r>
        <w:rPr>
          <w:rFonts w:hint="eastAsia" w:ascii="楷体" w:hAnsi="楷体" w:eastAsia="楷体" w:cs="楷体"/>
          <w:color w:val="auto"/>
          <w:sz w:val="24"/>
          <w:szCs w:val="24"/>
          <w:highlight w:val="none"/>
          <w:u w:val="none"/>
          <w:lang w:val="en-US" w:eastAsia="zh-CN"/>
        </w:rPr>
        <w:t xml:space="preserve"> 小时内解决。</w:t>
      </w:r>
    </w:p>
    <w:p w14:paraId="0EF986C8"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480" w:firstLineChars="200"/>
        <w:jc w:val="left"/>
        <w:textAlignment w:val="auto"/>
        <w:rPr>
          <w:rFonts w:hint="eastAsia" w:ascii="楷体" w:hAnsi="楷体" w:eastAsia="楷体" w:cs="楷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楷体" w:hAnsi="楷体" w:eastAsia="楷体" w:cs="楷体"/>
          <w:color w:val="auto"/>
          <w:kern w:val="2"/>
          <w:sz w:val="24"/>
          <w:szCs w:val="24"/>
          <w:highlight w:val="none"/>
          <w:lang w:val="en-US" w:eastAsia="zh-CN" w:bidi="ar-SA"/>
        </w:rPr>
        <w:t>2、乙方在检测项目、检测方法、检测时间参考范围和价格等发生变化时，应及时向甲方提供书面通知。</w:t>
      </w:r>
    </w:p>
    <w:p w14:paraId="36C1A27B"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left="0" w:leftChars="0" w:right="0" w:rightChars="0" w:firstLine="480" w:firstLineChars="200"/>
        <w:jc w:val="left"/>
        <w:textAlignment w:val="auto"/>
        <w:rPr>
          <w:rFonts w:hint="eastAsia" w:ascii="楷体" w:hAnsi="楷体" w:eastAsia="楷体" w:cs="楷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楷体" w:hAnsi="楷体" w:eastAsia="楷体" w:cs="楷体"/>
          <w:color w:val="auto"/>
          <w:kern w:val="2"/>
          <w:sz w:val="24"/>
          <w:szCs w:val="24"/>
          <w:highlight w:val="none"/>
          <w:lang w:val="en-US" w:eastAsia="zh-CN" w:bidi="ar-SA"/>
        </w:rPr>
        <w:t>3、</w:t>
      </w:r>
      <w:r>
        <w:rPr>
          <w:rFonts w:hint="eastAsia" w:ascii="楷体" w:hAnsi="楷体" w:eastAsia="楷体" w:cs="楷体"/>
          <w:color w:val="auto"/>
          <w:sz w:val="24"/>
          <w:szCs w:val="24"/>
          <w:highlight w:val="none"/>
          <w:lang w:val="en-US" w:eastAsia="zh-CN"/>
        </w:rPr>
        <w:t>乙方定期开展满意度调查，提供咨询并开展学术和技术交流。</w:t>
      </w:r>
    </w:p>
    <w:p w14:paraId="5A77F24F"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left="0" w:leftChars="0" w:right="0" w:rightChars="0" w:firstLine="480" w:firstLineChars="200"/>
        <w:jc w:val="left"/>
        <w:textAlignment w:val="auto"/>
        <w:rPr>
          <w:rFonts w:hint="eastAsia" w:ascii="楷体" w:hAnsi="楷体" w:eastAsia="楷体" w:cs="楷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楷体" w:hAnsi="楷体" w:eastAsia="楷体" w:cs="楷体"/>
          <w:color w:val="auto"/>
          <w:kern w:val="2"/>
          <w:sz w:val="24"/>
          <w:szCs w:val="24"/>
          <w:highlight w:val="none"/>
          <w:lang w:val="en-US" w:eastAsia="zh-CN" w:bidi="ar-SA"/>
        </w:rPr>
        <w:t>4、定期提供室内质控结果资料，结果需满足国家规定。</w:t>
      </w:r>
    </w:p>
    <w:p w14:paraId="6D0203B5"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left="0" w:leftChars="0" w:right="0" w:rightChars="0" w:firstLine="480" w:firstLineChars="200"/>
        <w:jc w:val="left"/>
        <w:textAlignment w:val="auto"/>
        <w:rPr>
          <w:rFonts w:hint="eastAsia" w:ascii="楷体" w:hAnsi="楷体" w:eastAsia="楷体" w:cs="楷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楷体" w:hAnsi="楷体" w:eastAsia="楷体" w:cs="楷体"/>
          <w:color w:val="auto"/>
          <w:kern w:val="2"/>
          <w:sz w:val="24"/>
          <w:szCs w:val="24"/>
          <w:highlight w:val="none"/>
          <w:lang w:val="en-US" w:eastAsia="zh-CN" w:bidi="ar-SA"/>
        </w:rPr>
        <w:t>5、提供2024年度国家室内质评结果资料。</w:t>
      </w:r>
    </w:p>
    <w:p w14:paraId="3BC52FA7"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left="0" w:leftChars="0" w:right="0" w:rightChars="0" w:firstLine="480" w:firstLineChars="200"/>
        <w:jc w:val="left"/>
        <w:textAlignment w:val="auto"/>
        <w:rPr>
          <w:rFonts w:hint="eastAsia" w:ascii="楷体" w:hAnsi="楷体" w:eastAsia="楷体" w:cs="楷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楷体" w:hAnsi="楷体" w:eastAsia="楷体" w:cs="楷体"/>
          <w:color w:val="auto"/>
          <w:kern w:val="2"/>
          <w:sz w:val="24"/>
          <w:szCs w:val="24"/>
          <w:highlight w:val="none"/>
          <w:lang w:val="en-US" w:eastAsia="zh-CN" w:bidi="ar-SA"/>
        </w:rPr>
        <w:t>6、提供实时临床会诊支持。</w:t>
      </w:r>
    </w:p>
    <w:p w14:paraId="403D319C"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480" w:firstLineChars="200"/>
        <w:jc w:val="left"/>
        <w:textAlignment w:val="auto"/>
        <w:rPr>
          <w:rFonts w:hint="eastAsia" w:ascii="楷体" w:hAnsi="楷体" w:eastAsia="楷体" w:cs="楷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楷体" w:hAnsi="楷体" w:eastAsia="楷体" w:cs="楷体"/>
          <w:color w:val="auto"/>
          <w:kern w:val="2"/>
          <w:sz w:val="24"/>
          <w:szCs w:val="24"/>
          <w:highlight w:val="none"/>
          <w:lang w:val="en-US" w:eastAsia="zh-CN" w:bidi="ar-SA"/>
        </w:rPr>
        <w:t>7、配合甲方完成质量监管工作，提供相关资料。</w:t>
      </w:r>
    </w:p>
    <w:p w14:paraId="7C34D374"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480" w:firstLineChars="200"/>
        <w:jc w:val="left"/>
        <w:textAlignment w:val="auto"/>
        <w:rPr>
          <w:rFonts w:hint="eastAsia" w:ascii="楷体" w:hAnsi="楷体" w:eastAsia="楷体" w:cs="楷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楷体" w:hAnsi="楷体" w:eastAsia="楷体" w:cs="楷体"/>
          <w:color w:val="auto"/>
          <w:kern w:val="2"/>
          <w:sz w:val="24"/>
          <w:szCs w:val="24"/>
          <w:highlight w:val="none"/>
          <w:lang w:val="en-US" w:eastAsia="zh-CN" w:bidi="ar-SA"/>
        </w:rPr>
        <w:t>8、按甲方要求完成危急值报告清单及报告范围。</w:t>
      </w:r>
    </w:p>
    <w:p w14:paraId="3B43691B"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480" w:firstLineChars="200"/>
        <w:jc w:val="left"/>
        <w:textAlignment w:val="auto"/>
        <w:rPr>
          <w:rFonts w:hint="eastAsia" w:ascii="楷体" w:hAnsi="楷体" w:eastAsia="楷体" w:cs="楷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楷体" w:hAnsi="楷体" w:eastAsia="楷体" w:cs="楷体"/>
          <w:color w:val="auto"/>
          <w:kern w:val="2"/>
          <w:sz w:val="24"/>
          <w:szCs w:val="24"/>
          <w:highlight w:val="none"/>
          <w:lang w:val="en-US" w:eastAsia="zh-CN" w:bidi="ar-SA"/>
        </w:rPr>
        <w:t>9、对不合格标本及时反馈处理。</w:t>
      </w:r>
    </w:p>
    <w:p w14:paraId="4DE7D513"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480" w:firstLineChars="200"/>
        <w:jc w:val="left"/>
        <w:textAlignment w:val="auto"/>
        <w:rPr>
          <w:rFonts w:hint="eastAsia" w:ascii="楷体" w:hAnsi="楷体" w:eastAsia="楷体" w:cs="楷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楷体" w:hAnsi="楷体" w:eastAsia="楷体" w:cs="楷体"/>
          <w:color w:val="auto"/>
          <w:kern w:val="2"/>
          <w:sz w:val="24"/>
          <w:szCs w:val="24"/>
          <w:highlight w:val="none"/>
          <w:lang w:val="en-US" w:eastAsia="zh-CN" w:bidi="ar-SA"/>
        </w:rPr>
        <w:t xml:space="preserve">10、对甲方操作人员就乙方开展检测项目相关知识进行培训。 </w:t>
      </w:r>
    </w:p>
    <w:p w14:paraId="0C38AEE1">
      <w:pPr>
        <w:pStyle w:val="2"/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ind w:left="0" w:leftChars="0" w:right="0" w:rightChars="0" w:firstLineChars="200"/>
        <w:jc w:val="left"/>
        <w:textAlignment w:val="auto"/>
        <w:rPr>
          <w:rFonts w:hint="eastAsia" w:ascii="楷体" w:hAnsi="楷体" w:eastAsia="楷体" w:cs="楷体"/>
          <w:lang w:val="en-US" w:eastAsia="zh-CN"/>
        </w:rPr>
      </w:pPr>
    </w:p>
    <w:p w14:paraId="1B86D155">
      <w:pPr>
        <w:pStyle w:val="2"/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ind w:left="0" w:leftChars="0" w:right="0" w:rightChars="0" w:firstLineChars="200"/>
        <w:jc w:val="left"/>
        <w:textAlignment w:val="auto"/>
        <w:rPr>
          <w:rFonts w:hint="eastAsia" w:ascii="楷体" w:hAnsi="楷体" w:eastAsia="楷体" w:cs="楷体"/>
          <w:lang w:val="en-US" w:eastAsia="zh-CN"/>
        </w:rPr>
      </w:pPr>
    </w:p>
    <w:p w14:paraId="441D4082">
      <w:pPr>
        <w:pStyle w:val="2"/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ind w:left="0" w:leftChars="0" w:right="0" w:rightChars="0" w:firstLine="482" w:firstLineChars="200"/>
        <w:jc w:val="left"/>
        <w:textAlignment w:val="auto"/>
        <w:rPr>
          <w:rFonts w:hint="eastAsia" w:ascii="楷体" w:hAnsi="楷体" w:eastAsia="楷体" w:cs="楷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楷体" w:hAnsi="楷体" w:eastAsia="楷体" w:cs="楷体"/>
          <w:b/>
          <w:bCs/>
          <w:color w:val="auto"/>
          <w:sz w:val="24"/>
          <w:szCs w:val="24"/>
          <w:highlight w:val="none"/>
          <w:lang w:eastAsia="zh-CN"/>
        </w:rPr>
        <w:t>七</w:t>
      </w:r>
      <w:r>
        <w:rPr>
          <w:rFonts w:hint="eastAsia" w:ascii="楷体" w:hAnsi="楷体" w:eastAsia="楷体" w:cs="楷体"/>
          <w:b/>
          <w:bCs/>
          <w:color w:val="auto"/>
          <w:sz w:val="24"/>
          <w:szCs w:val="24"/>
          <w:highlight w:val="none"/>
        </w:rPr>
        <w:t>、付款方式</w:t>
      </w:r>
    </w:p>
    <w:p w14:paraId="5366F4DE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480" w:firstLineChars="200"/>
        <w:textAlignment w:val="auto"/>
        <w:rPr>
          <w:rFonts w:hint="eastAsia" w:ascii="楷体" w:hAnsi="楷体" w:eastAsia="楷体" w:cs="楷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楷体" w:hAnsi="楷体" w:eastAsia="楷体" w:cs="楷体"/>
          <w:color w:val="auto"/>
          <w:kern w:val="2"/>
          <w:sz w:val="24"/>
          <w:szCs w:val="24"/>
          <w:highlight w:val="none"/>
          <w:lang w:val="en-US" w:eastAsia="zh-CN" w:bidi="ar-SA"/>
        </w:rPr>
        <w:t>1、支付方式：检验费用按季度结算。</w:t>
      </w:r>
    </w:p>
    <w:p w14:paraId="2373EB5B"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480" w:firstLineChars="200"/>
        <w:jc w:val="left"/>
        <w:textAlignment w:val="auto"/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color w:val="auto"/>
          <w:sz w:val="24"/>
          <w:szCs w:val="24"/>
          <w:highlight w:val="none"/>
          <w:lang w:val="en-US" w:eastAsia="zh-CN"/>
        </w:rPr>
        <w:t>2、</w:t>
      </w:r>
      <w:r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  <w:t>乙方在下季度前10日内，根据上季度甲方开具的检验申请单和乙方系统数据，按约定比例核算检验费用总额，经甲方确认</w:t>
      </w:r>
      <w:r>
        <w:rPr>
          <w:rFonts w:hint="eastAsia" w:ascii="楷体" w:hAnsi="楷体" w:eastAsia="楷体" w:cs="楷体"/>
          <w:color w:val="auto"/>
          <w:sz w:val="24"/>
          <w:szCs w:val="24"/>
          <w:highlight w:val="none"/>
          <w:lang w:eastAsia="zh-CN"/>
        </w:rPr>
        <w:t>无误</w:t>
      </w:r>
      <w:r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  <w:t>后，乙方向甲方提供等额正规发票，甲方支付相应价款。</w:t>
      </w:r>
    </w:p>
    <w:p w14:paraId="6CDC5A6E">
      <w:pPr>
        <w:pStyle w:val="5"/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482" w:firstLineChars="200"/>
        <w:textAlignment w:val="auto"/>
        <w:rPr>
          <w:rFonts w:hint="eastAsia" w:ascii="楷体" w:hAnsi="楷体" w:eastAsia="楷体" w:cs="楷体"/>
          <w:b/>
          <w:color w:val="auto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b/>
          <w:color w:val="auto"/>
          <w:sz w:val="24"/>
          <w:szCs w:val="24"/>
          <w:highlight w:val="none"/>
          <w:lang w:eastAsia="zh-CN"/>
        </w:rPr>
        <w:t>八</w:t>
      </w:r>
      <w:r>
        <w:rPr>
          <w:rFonts w:hint="eastAsia" w:ascii="楷体" w:hAnsi="楷体" w:eastAsia="楷体" w:cs="楷体"/>
          <w:b/>
          <w:color w:val="auto"/>
          <w:sz w:val="24"/>
          <w:szCs w:val="24"/>
          <w:highlight w:val="none"/>
        </w:rPr>
        <w:t>、</w:t>
      </w:r>
      <w:r>
        <w:rPr>
          <w:rFonts w:hint="eastAsia" w:ascii="楷体" w:hAnsi="楷体" w:eastAsia="楷体" w:cs="楷体"/>
          <w:b/>
          <w:color w:val="auto"/>
          <w:sz w:val="24"/>
          <w:szCs w:val="24"/>
          <w:highlight w:val="none"/>
          <w:lang w:eastAsia="zh-CN"/>
        </w:rPr>
        <w:t>合同</w:t>
      </w:r>
      <w:r>
        <w:rPr>
          <w:rFonts w:hint="eastAsia" w:ascii="楷体" w:hAnsi="楷体" w:eastAsia="楷体" w:cs="楷体"/>
          <w:b/>
          <w:color w:val="auto"/>
          <w:sz w:val="24"/>
          <w:szCs w:val="24"/>
          <w:highlight w:val="none"/>
        </w:rPr>
        <w:t>的变更、终止及违约责任</w:t>
      </w:r>
    </w:p>
    <w:p w14:paraId="5CDE09ED">
      <w:pPr>
        <w:pStyle w:val="5"/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480" w:firstLineChars="200"/>
        <w:textAlignment w:val="auto"/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  <w:t>1、甲乙双方在有效期内，可以协商变更和补充相关内容，但应以书面形式双方确认。</w:t>
      </w:r>
    </w:p>
    <w:p w14:paraId="3A653A89">
      <w:pPr>
        <w:pStyle w:val="5"/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480" w:firstLineChars="200"/>
        <w:textAlignment w:val="auto"/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  <w:t>2、甲乙双方的任何一方若终止本</w:t>
      </w:r>
      <w:r>
        <w:rPr>
          <w:rFonts w:hint="eastAsia" w:ascii="楷体" w:hAnsi="楷体" w:eastAsia="楷体" w:cs="楷体"/>
          <w:color w:val="auto"/>
          <w:sz w:val="24"/>
          <w:szCs w:val="24"/>
          <w:highlight w:val="none"/>
          <w:lang w:eastAsia="zh-CN"/>
        </w:rPr>
        <w:t>合同</w:t>
      </w:r>
      <w:r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  <w:t>，应提前30天以书面形式通知对方，经对方书面同意并结清相关款项后才能终止。</w:t>
      </w:r>
    </w:p>
    <w:p w14:paraId="39E2B400">
      <w:pPr>
        <w:pStyle w:val="5"/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480" w:firstLineChars="200"/>
        <w:textAlignment w:val="auto"/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  <w:t>3、乙方对数据的真实性负责。乙方无故不能按期完成检测，每延迟一天，乙方应偿付甲方该项送检项目检测费用的1%作为迟延违约金，迟延违约金累计计算。超过</w:t>
      </w:r>
      <w:r>
        <w:rPr>
          <w:rFonts w:hint="eastAsia" w:ascii="楷体" w:hAnsi="楷体" w:eastAsia="楷体" w:cs="楷体"/>
          <w:color w:val="auto"/>
          <w:sz w:val="24"/>
          <w:szCs w:val="24"/>
          <w:highlight w:val="none"/>
          <w:lang w:val="en-US" w:eastAsia="zh-CN"/>
        </w:rPr>
        <w:t>15</w:t>
      </w:r>
      <w:r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  <w:t>天未完成检测，</w:t>
      </w:r>
      <w:r>
        <w:rPr>
          <w:rFonts w:hint="eastAsia" w:ascii="楷体" w:hAnsi="楷体" w:eastAsia="楷体" w:cs="楷体"/>
          <w:color w:val="auto"/>
          <w:sz w:val="24"/>
          <w:szCs w:val="24"/>
          <w:highlight w:val="none"/>
          <w:lang w:val="en-US" w:eastAsia="zh-CN"/>
        </w:rPr>
        <w:t>甲方有权利视情况</w:t>
      </w:r>
      <w:r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  <w:t>解除</w:t>
      </w:r>
      <w:r>
        <w:rPr>
          <w:rFonts w:hint="eastAsia" w:ascii="楷体" w:hAnsi="楷体" w:eastAsia="楷体" w:cs="楷体"/>
          <w:color w:val="auto"/>
          <w:sz w:val="24"/>
          <w:szCs w:val="24"/>
          <w:highlight w:val="none"/>
          <w:lang w:val="en-US" w:eastAsia="zh-CN"/>
        </w:rPr>
        <w:t>合同</w:t>
      </w:r>
      <w:r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  <w:t>。由于乙方原因造成甲方损失的，乙方除赔偿损失外应当承担未完成检验项目费用的30%作为违约金。</w:t>
      </w:r>
    </w:p>
    <w:p w14:paraId="339A8BD9">
      <w:pPr>
        <w:pStyle w:val="5"/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482" w:firstLineChars="200"/>
        <w:textAlignment w:val="auto"/>
        <w:rPr>
          <w:rFonts w:hint="eastAsia" w:ascii="楷体" w:hAnsi="楷体" w:eastAsia="楷体" w:cs="楷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auto"/>
          <w:sz w:val="24"/>
          <w:szCs w:val="24"/>
          <w:highlight w:val="none"/>
          <w:lang w:val="en-US" w:eastAsia="zh-CN"/>
        </w:rPr>
        <w:t>九、保密协议</w:t>
      </w:r>
    </w:p>
    <w:p w14:paraId="357F7944">
      <w:pPr>
        <w:pStyle w:val="5"/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480" w:firstLineChars="200"/>
        <w:textAlignment w:val="auto"/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  <w:t>乙方违反保密条款规定，有下列行为之一的，甲方有权对因此造成的损失要求赔偿；构成犯罪的，依法追究其刑事责任：</w:t>
      </w:r>
    </w:p>
    <w:p w14:paraId="3A279EA9">
      <w:pPr>
        <w:pStyle w:val="5"/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480" w:firstLineChars="200"/>
        <w:textAlignment w:val="auto"/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  <w:t>（1）擅自向第三方提供或者转让甲方提供的资料。</w:t>
      </w:r>
    </w:p>
    <w:p w14:paraId="7D3CC120">
      <w:pPr>
        <w:pStyle w:val="5"/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480" w:firstLineChars="200"/>
        <w:textAlignment w:val="auto"/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  <w:t>（2）对获得的资料保管不当造成丢失、被窃。</w:t>
      </w:r>
    </w:p>
    <w:p w14:paraId="27D78113"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482" w:firstLineChars="200"/>
        <w:jc w:val="left"/>
        <w:textAlignment w:val="auto"/>
        <w:rPr>
          <w:rFonts w:hint="eastAsia" w:ascii="楷体" w:hAnsi="楷体" w:eastAsia="楷体" w:cs="楷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b/>
          <w:bCs/>
          <w:color w:val="auto"/>
          <w:sz w:val="24"/>
          <w:szCs w:val="24"/>
          <w:highlight w:val="none"/>
          <w:lang w:val="en-US" w:eastAsia="zh-CN"/>
        </w:rPr>
        <w:t>十</w:t>
      </w:r>
      <w:r>
        <w:rPr>
          <w:rFonts w:hint="eastAsia" w:ascii="楷体" w:hAnsi="楷体" w:eastAsia="楷体" w:cs="楷体"/>
          <w:b/>
          <w:bCs/>
          <w:color w:val="auto"/>
          <w:sz w:val="24"/>
          <w:szCs w:val="24"/>
          <w:highlight w:val="none"/>
        </w:rPr>
        <w:t>、纠纷的解决</w:t>
      </w:r>
    </w:p>
    <w:p w14:paraId="344523EC">
      <w:pPr>
        <w:pStyle w:val="4"/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480" w:firstLineChars="200"/>
        <w:textAlignment w:val="auto"/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  <w:t>本协议履行过程中出现的争议，由双方友好协商解决，协商不能，双方同意向甲方所在地人民法院提起诉讼。</w:t>
      </w:r>
    </w:p>
    <w:p w14:paraId="1D41D875"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482" w:firstLineChars="200"/>
        <w:jc w:val="left"/>
        <w:textAlignment w:val="auto"/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b/>
          <w:bCs/>
          <w:color w:val="auto"/>
          <w:sz w:val="24"/>
          <w:szCs w:val="24"/>
          <w:highlight w:val="none"/>
          <w:lang w:val="en-US" w:eastAsia="zh-CN"/>
        </w:rPr>
        <w:t>十一</w:t>
      </w:r>
      <w:r>
        <w:rPr>
          <w:rFonts w:hint="eastAsia" w:ascii="楷体" w:hAnsi="楷体" w:eastAsia="楷体" w:cs="楷体"/>
          <w:b/>
          <w:bCs/>
          <w:color w:val="auto"/>
          <w:sz w:val="24"/>
          <w:szCs w:val="24"/>
          <w:highlight w:val="none"/>
        </w:rPr>
        <w:t>、协议的效力</w:t>
      </w:r>
    </w:p>
    <w:p w14:paraId="12322ECB"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496" w:firstLineChars="200"/>
        <w:jc w:val="left"/>
        <w:textAlignment w:val="auto"/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bCs/>
          <w:snapToGrid w:val="0"/>
          <w:color w:val="auto"/>
          <w:spacing w:val="4"/>
          <w:kern w:val="0"/>
          <w:sz w:val="24"/>
          <w:szCs w:val="24"/>
          <w:highlight w:val="none"/>
        </w:rPr>
        <w:t>本</w:t>
      </w:r>
      <w:r>
        <w:rPr>
          <w:rFonts w:hint="eastAsia" w:ascii="楷体" w:hAnsi="楷体" w:eastAsia="楷体" w:cs="楷体"/>
          <w:bCs/>
          <w:snapToGrid w:val="0"/>
          <w:color w:val="auto"/>
          <w:spacing w:val="4"/>
          <w:kern w:val="0"/>
          <w:sz w:val="24"/>
          <w:szCs w:val="24"/>
          <w:highlight w:val="none"/>
          <w:lang w:eastAsia="zh-CN"/>
        </w:rPr>
        <w:t>合同</w:t>
      </w:r>
      <w:r>
        <w:rPr>
          <w:rFonts w:hint="eastAsia" w:ascii="楷体" w:hAnsi="楷体" w:eastAsia="楷体" w:cs="楷体"/>
          <w:bCs/>
          <w:snapToGrid w:val="0"/>
          <w:color w:val="auto"/>
          <w:spacing w:val="4"/>
          <w:kern w:val="0"/>
          <w:sz w:val="24"/>
          <w:szCs w:val="24"/>
          <w:highlight w:val="none"/>
        </w:rPr>
        <w:t>一式</w:t>
      </w:r>
      <w:r>
        <w:rPr>
          <w:rFonts w:hint="eastAsia" w:ascii="楷体" w:hAnsi="楷体" w:eastAsia="楷体" w:cs="楷体"/>
          <w:bCs/>
          <w:snapToGrid w:val="0"/>
          <w:color w:val="auto"/>
          <w:spacing w:val="4"/>
          <w:kern w:val="0"/>
          <w:sz w:val="24"/>
          <w:szCs w:val="24"/>
          <w:highlight w:val="none"/>
          <w:lang w:eastAsia="zh-CN"/>
        </w:rPr>
        <w:t>伍</w:t>
      </w:r>
      <w:r>
        <w:rPr>
          <w:rFonts w:hint="eastAsia" w:ascii="楷体" w:hAnsi="楷体" w:eastAsia="楷体" w:cs="楷体"/>
          <w:bCs/>
          <w:snapToGrid w:val="0"/>
          <w:color w:val="auto"/>
          <w:spacing w:val="4"/>
          <w:kern w:val="0"/>
          <w:sz w:val="24"/>
          <w:szCs w:val="24"/>
          <w:highlight w:val="none"/>
        </w:rPr>
        <w:t>份，甲方执</w:t>
      </w:r>
      <w:r>
        <w:rPr>
          <w:rFonts w:hint="eastAsia" w:ascii="楷体" w:hAnsi="楷体" w:eastAsia="楷体" w:cs="楷体"/>
          <w:bCs/>
          <w:snapToGrid w:val="0"/>
          <w:color w:val="auto"/>
          <w:spacing w:val="4"/>
          <w:kern w:val="0"/>
          <w:sz w:val="24"/>
          <w:szCs w:val="24"/>
          <w:highlight w:val="none"/>
          <w:lang w:eastAsia="zh-CN"/>
        </w:rPr>
        <w:t>肆</w:t>
      </w:r>
      <w:r>
        <w:rPr>
          <w:rFonts w:hint="eastAsia" w:ascii="楷体" w:hAnsi="楷体" w:eastAsia="楷体" w:cs="楷体"/>
          <w:bCs/>
          <w:snapToGrid w:val="0"/>
          <w:color w:val="auto"/>
          <w:spacing w:val="4"/>
          <w:kern w:val="0"/>
          <w:sz w:val="24"/>
          <w:szCs w:val="24"/>
          <w:highlight w:val="none"/>
        </w:rPr>
        <w:t>份，</w:t>
      </w:r>
      <w:r>
        <w:rPr>
          <w:rFonts w:hint="eastAsia" w:ascii="楷体" w:hAnsi="楷体" w:eastAsia="楷体" w:cs="楷体"/>
          <w:bCs/>
          <w:snapToGrid w:val="0"/>
          <w:color w:val="auto"/>
          <w:spacing w:val="4"/>
          <w:kern w:val="0"/>
          <w:sz w:val="24"/>
          <w:szCs w:val="24"/>
          <w:highlight w:val="none"/>
          <w:lang w:eastAsia="zh-CN"/>
        </w:rPr>
        <w:t>乙方壹份，</w:t>
      </w:r>
      <w:r>
        <w:rPr>
          <w:rFonts w:hint="eastAsia" w:ascii="楷体" w:hAnsi="楷体" w:eastAsia="楷体" w:cs="楷体"/>
          <w:bCs/>
          <w:snapToGrid w:val="0"/>
          <w:color w:val="auto"/>
          <w:spacing w:val="4"/>
          <w:kern w:val="0"/>
          <w:sz w:val="24"/>
          <w:szCs w:val="24"/>
          <w:highlight w:val="none"/>
        </w:rPr>
        <w:t>自双方签字并加盖公章或合同专用章后生效。</w:t>
      </w:r>
    </w:p>
    <w:p w14:paraId="11CD2638"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482" w:firstLineChars="200"/>
        <w:jc w:val="left"/>
        <w:textAlignment w:val="auto"/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b/>
          <w:bCs/>
          <w:color w:val="auto"/>
          <w:sz w:val="24"/>
          <w:szCs w:val="24"/>
          <w:highlight w:val="none"/>
        </w:rPr>
        <w:t>十</w:t>
      </w:r>
      <w:r>
        <w:rPr>
          <w:rFonts w:hint="eastAsia" w:ascii="楷体" w:hAnsi="楷体" w:eastAsia="楷体" w:cs="楷体"/>
          <w:b/>
          <w:bCs/>
          <w:color w:val="auto"/>
          <w:sz w:val="24"/>
          <w:szCs w:val="24"/>
          <w:highlight w:val="none"/>
          <w:lang w:eastAsia="zh-CN"/>
        </w:rPr>
        <w:t>二</w:t>
      </w:r>
      <w:r>
        <w:rPr>
          <w:rFonts w:hint="eastAsia" w:ascii="楷体" w:hAnsi="楷体" w:eastAsia="楷体" w:cs="楷体"/>
          <w:b/>
          <w:bCs/>
          <w:color w:val="auto"/>
          <w:sz w:val="24"/>
          <w:szCs w:val="24"/>
          <w:highlight w:val="none"/>
        </w:rPr>
        <w:t>、其他</w:t>
      </w:r>
    </w:p>
    <w:p w14:paraId="073D71E1"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480" w:firstLineChars="200"/>
        <w:jc w:val="left"/>
        <w:textAlignment w:val="auto"/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  <w:t>1、本</w:t>
      </w:r>
      <w:r>
        <w:rPr>
          <w:rFonts w:hint="eastAsia" w:ascii="楷体" w:hAnsi="楷体" w:eastAsia="楷体" w:cs="楷体"/>
          <w:color w:val="auto"/>
          <w:sz w:val="24"/>
          <w:szCs w:val="24"/>
          <w:highlight w:val="none"/>
          <w:lang w:eastAsia="zh-CN"/>
        </w:rPr>
        <w:t>合同</w:t>
      </w:r>
      <w:r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  <w:t>有效期内，任一方的名称、地址、指定的联系人、联系方式等发生变更的，应及时书面通知另一方，否则，另一方按变更前的方式送达的，视为有效送达，未履行通知义务一方承担不利后果。</w:t>
      </w:r>
    </w:p>
    <w:p w14:paraId="15E046A4"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480" w:firstLineChars="200"/>
        <w:jc w:val="left"/>
        <w:textAlignment w:val="auto"/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  <w:t>2、甲方同意乙方等研究机构因科研项目、发表论文、数据分析等需要，将受检者信息去标识化后，使用本</w:t>
      </w:r>
      <w:r>
        <w:rPr>
          <w:rFonts w:hint="eastAsia" w:ascii="楷体" w:hAnsi="楷体" w:eastAsia="楷体" w:cs="楷体"/>
          <w:color w:val="auto"/>
          <w:sz w:val="24"/>
          <w:szCs w:val="24"/>
          <w:highlight w:val="none"/>
          <w:lang w:eastAsia="zh-CN"/>
        </w:rPr>
        <w:t>合同</w:t>
      </w:r>
      <w:r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  <w:t>所产生的检测信息、数据及相关剩余样本（如有）。</w:t>
      </w:r>
    </w:p>
    <w:p w14:paraId="6075839D"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480" w:firstLineChars="200"/>
        <w:jc w:val="left"/>
        <w:textAlignment w:val="auto"/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  <w:t xml:space="preserve">3、甲乙双方均应提交各自的盖公章的医疗机构执业许可证、统一社会信用代码给对方存档。                            </w:t>
      </w:r>
    </w:p>
    <w:p w14:paraId="6EB5D52A"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480" w:firstLineChars="200"/>
        <w:jc w:val="left"/>
        <w:textAlignment w:val="auto"/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  <w:t>4、未经另一方书面同意，任何一方不得变更或修改本</w:t>
      </w:r>
      <w:r>
        <w:rPr>
          <w:rFonts w:hint="eastAsia" w:ascii="楷体" w:hAnsi="楷体" w:eastAsia="楷体" w:cs="楷体"/>
          <w:color w:val="auto"/>
          <w:sz w:val="24"/>
          <w:szCs w:val="24"/>
          <w:highlight w:val="none"/>
          <w:lang w:eastAsia="zh-CN"/>
        </w:rPr>
        <w:t>合同</w:t>
      </w:r>
      <w:r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  <w:t>；经双方协商达成一致的，签订的书面变更协议或补充协议与本合同具有同等效力。</w:t>
      </w:r>
    </w:p>
    <w:tbl>
      <w:tblPr>
        <w:tblStyle w:val="6"/>
        <w:tblpPr w:leftFromText="180" w:rightFromText="180" w:vertAnchor="text" w:horzAnchor="page" w:tblpX="1566" w:tblpY="276"/>
        <w:tblOverlap w:val="never"/>
        <w:tblW w:w="8999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08"/>
        <w:gridCol w:w="4791"/>
      </w:tblGrid>
      <w:tr w14:paraId="7D8ADE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3" w:hRule="atLeast"/>
        </w:trPr>
        <w:tc>
          <w:tcPr>
            <w:tcW w:w="4208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A29EA25">
            <w:pPr>
              <w:shd w:val="clear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  <w:bookmarkStart w:id="3" w:name="_GoBack"/>
            <w:bookmarkEnd w:id="3"/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甲方：西安市胸科医院（公章）</w:t>
            </w:r>
          </w:p>
          <w:p w14:paraId="7BD44F82">
            <w:pPr>
              <w:shd w:val="clear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</w:p>
          <w:p w14:paraId="3FC2363F">
            <w:pPr>
              <w:shd w:val="clear"/>
              <w:rPr>
                <w:rFonts w:hint="eastAsia" w:ascii="楷体" w:hAnsi="楷体" w:eastAsia="楷体" w:cs="楷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地址：</w:t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  <w:highlight w:val="none"/>
              </w:rPr>
              <w:t>西安市</w:t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  <w:highlight w:val="none"/>
                <w:lang w:eastAsia="zh-CN"/>
              </w:rPr>
              <w:t>长安区航天大道东段杜陵西路</w:t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  <w:highlight w:val="none"/>
                <w:lang w:val="en-US" w:eastAsia="zh-CN"/>
              </w:rPr>
              <w:t>2000号</w:t>
            </w:r>
          </w:p>
          <w:p w14:paraId="2618DF1A">
            <w:pPr>
              <w:shd w:val="clear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</w:p>
          <w:p w14:paraId="23B77D38">
            <w:pPr>
              <w:shd w:val="clear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 xml:space="preserve">法定代表人：（签字）             </w:t>
            </w:r>
          </w:p>
          <w:p w14:paraId="4715C292">
            <w:pPr>
              <w:shd w:val="clear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</w:p>
          <w:p w14:paraId="78CBC3CE">
            <w:pPr>
              <w:shd w:val="clear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代理人：（签字）</w:t>
            </w:r>
          </w:p>
          <w:p w14:paraId="6EC79783">
            <w:pPr>
              <w:shd w:val="clear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</w:p>
          <w:p w14:paraId="412B6DEF">
            <w:pPr>
              <w:shd w:val="clear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项目主管部门负责人：（签字）</w:t>
            </w:r>
          </w:p>
          <w:p w14:paraId="077FB935">
            <w:pPr>
              <w:shd w:val="clear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</w:p>
          <w:p w14:paraId="391420B9">
            <w:pPr>
              <w:shd w:val="clear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招采办负责人：（签字）</w:t>
            </w:r>
          </w:p>
          <w:p w14:paraId="1C705E7A">
            <w:pPr>
              <w:shd w:val="clear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</w:p>
          <w:p w14:paraId="4A9B9FD3">
            <w:pPr>
              <w:shd w:val="clear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联系电话：029-62500115</w:t>
            </w:r>
          </w:p>
          <w:p w14:paraId="2D5DFDEA">
            <w:pPr>
              <w:shd w:val="clear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</w:p>
          <w:p w14:paraId="1CB15ADD">
            <w:pPr>
              <w:shd w:val="clear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签订日期：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  <w:lang w:val="en-US" w:eastAsia="zh-CN"/>
              </w:rPr>
              <w:t xml:space="preserve">202  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年  月   日</w:t>
            </w:r>
          </w:p>
        </w:tc>
        <w:tc>
          <w:tcPr>
            <w:tcW w:w="4791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70FF288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乙方：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  <w:lang w:val="en-US" w:eastAsia="zh-CN"/>
              </w:rPr>
              <w:t xml:space="preserve">               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（公章）</w:t>
            </w:r>
          </w:p>
          <w:p w14:paraId="015566E2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</w:p>
          <w:p w14:paraId="2CEB7447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地址：</w:t>
            </w:r>
          </w:p>
          <w:p w14:paraId="4EA3ED6C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</w:p>
          <w:p w14:paraId="0948A6A2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法定代表人：（签字）</w:t>
            </w:r>
          </w:p>
          <w:p w14:paraId="10D253B9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经办人：（签字）</w:t>
            </w:r>
          </w:p>
          <w:p w14:paraId="5DEDEDB0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联系电话：</w:t>
            </w:r>
          </w:p>
          <w:p w14:paraId="3044878D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 xml:space="preserve">开户银行： </w:t>
            </w:r>
          </w:p>
          <w:p w14:paraId="1CD2BD89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 xml:space="preserve">银行账号： </w:t>
            </w:r>
          </w:p>
          <w:p w14:paraId="568CDEAB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</w:p>
          <w:p w14:paraId="64382FE4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签订日期：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  <w:lang w:val="en-US" w:eastAsia="zh-CN"/>
              </w:rPr>
              <w:t xml:space="preserve">202  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年  月   日</w:t>
            </w:r>
          </w:p>
        </w:tc>
      </w:tr>
    </w:tbl>
    <w:p w14:paraId="69416498">
      <w:pPr>
        <w:shd w:val="clear"/>
        <w:spacing w:line="360" w:lineRule="auto"/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</w:pPr>
    </w:p>
    <w:p w14:paraId="0CF35DAD">
      <w:pPr>
        <w:shd w:val="clear"/>
        <w:spacing w:line="360" w:lineRule="auto"/>
        <w:jc w:val="both"/>
        <w:rPr>
          <w:rFonts w:hint="eastAsia" w:ascii="楷体" w:hAnsi="楷体" w:eastAsia="楷体" w:cs="楷体"/>
          <w:b/>
          <w:color w:val="auto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b/>
          <w:color w:val="auto"/>
          <w:kern w:val="0"/>
          <w:sz w:val="21"/>
          <w:szCs w:val="21"/>
          <w:highlight w:val="none"/>
        </w:rPr>
        <w:t>注：上述合同仅作为参考文本，合同签订时双方可根据项目的具体要求进行修订，实质性内容不得违背磋商文件的条款。</w:t>
      </w:r>
    </w:p>
    <w:p w14:paraId="35E0F466">
      <w:pPr>
        <w:pStyle w:val="2"/>
        <w:rPr>
          <w:rFonts w:hint="eastAsia" w:ascii="楷体" w:hAnsi="楷体" w:eastAsia="楷体" w:cs="楷体"/>
        </w:rPr>
      </w:pPr>
    </w:p>
    <w:p w14:paraId="64F59003">
      <w:pPr>
        <w:pStyle w:val="2"/>
        <w:rPr>
          <w:rFonts w:hint="eastAsia" w:ascii="楷体" w:hAnsi="楷体" w:eastAsia="楷体" w:cs="楷体"/>
        </w:rPr>
      </w:pPr>
    </w:p>
    <w:p w14:paraId="1624DA6B">
      <w:pPr>
        <w:pStyle w:val="2"/>
        <w:rPr>
          <w:rFonts w:hint="eastAsia" w:ascii="楷体" w:hAnsi="楷体" w:eastAsia="楷体" w:cs="楷体"/>
        </w:rPr>
      </w:pPr>
    </w:p>
    <w:p w14:paraId="4038EB17">
      <w:pPr>
        <w:pStyle w:val="2"/>
        <w:rPr>
          <w:rFonts w:hint="eastAsia" w:ascii="楷体" w:hAnsi="楷体" w:eastAsia="楷体" w:cs="楷体"/>
          <w:b/>
          <w:color w:val="auto"/>
          <w:kern w:val="0"/>
          <w:sz w:val="21"/>
          <w:szCs w:val="21"/>
          <w:highlight w:val="none"/>
          <w:lang w:val="en-US" w:eastAsia="zh-CN"/>
        </w:rPr>
      </w:pPr>
      <w:r>
        <w:rPr>
          <w:rFonts w:hint="eastAsia" w:ascii="楷体" w:hAnsi="楷体" w:eastAsia="楷体" w:cs="楷体"/>
          <w:b/>
          <w:color w:val="auto"/>
          <w:kern w:val="0"/>
          <w:sz w:val="21"/>
          <w:szCs w:val="21"/>
          <w:highlight w:val="none"/>
          <w:lang w:eastAsia="zh-CN"/>
        </w:rPr>
        <w:t>附件</w:t>
      </w:r>
      <w:r>
        <w:rPr>
          <w:rFonts w:hint="eastAsia" w:ascii="楷体" w:hAnsi="楷体" w:eastAsia="楷体" w:cs="楷体"/>
          <w:b/>
          <w:color w:val="auto"/>
          <w:kern w:val="0"/>
          <w:sz w:val="21"/>
          <w:szCs w:val="21"/>
          <w:highlight w:val="none"/>
          <w:lang w:val="en-US" w:eastAsia="zh-CN"/>
        </w:rPr>
        <w:t>：开展的项目及检验费用（附合同后）</w:t>
      </w:r>
    </w:p>
    <w:p w14:paraId="30EA6B51">
      <w:pPr>
        <w:rPr>
          <w:rFonts w:hint="eastAsia" w:ascii="楷体" w:hAnsi="楷体" w:eastAsia="楷体" w:cs="楷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A671F8"/>
    <w:rsid w:val="51493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Body Text"/>
    <w:basedOn w:val="1"/>
    <w:next w:val="1"/>
    <w:qFormat/>
    <w:uiPriority w:val="0"/>
    <w:pPr>
      <w:spacing w:after="120"/>
    </w:pPr>
  </w:style>
  <w:style w:type="paragraph" w:styleId="5">
    <w:name w:val="Body Text Indent 2"/>
    <w:basedOn w:val="1"/>
    <w:qFormat/>
    <w:uiPriority w:val="0"/>
    <w:pPr>
      <w:spacing w:line="500" w:lineRule="exact"/>
      <w:ind w:left="420" w:leftChars="200"/>
      <w:jc w:val="left"/>
    </w:pPr>
    <w:rPr>
      <w:rFonts w:ascii="Times New Roman" w:hAnsi="Times New Roman"/>
    </w:rPr>
  </w:style>
  <w:style w:type="paragraph" w:customStyle="1" w:styleId="8">
    <w:name w:val="样式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2025-08-05T03:41:36Z</dcterms:created>
  <dc:creator>Administrator</dc:creator>
  <cp:lastModifiedBy>Administrator</cp:lastModifiedBy>
  <dcterms:modified xsi:type="dcterms:W3CDTF">2025-08-05T03:42:35Z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eyJoZGlkIjoiNTRlMWFlODYzZWMzZTAyYzEyZDQwN2M1Y2E4MGViOGIiLCJ1c2VySWQiOiI0NTM4NjU4MjAifQ==</vt:lpwstr>
  </property>
  <property fmtid="{D5CDD505-2E9C-101B-9397-08002B2CF9AE}" pid="4" name="ICV">
    <vt:lpwstr>C29037D0529B423589F318D3C8E69A9A_12</vt:lpwstr>
  </property>
</Properties>
</file>