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F8247">
      <w:pPr>
        <w:pStyle w:val="9"/>
        <w:jc w:val="center"/>
        <w:rPr>
          <w:rFonts w:hint="eastAsia" w:ascii="仿宋" w:hAnsi="仿宋" w:eastAsia="仿宋" w:cs="仿宋"/>
          <w:highlight w:val="none"/>
        </w:rPr>
      </w:pPr>
      <w:r>
        <w:rPr>
          <w:rFonts w:hint="eastAsia" w:ascii="仿宋" w:hAnsi="仿宋" w:eastAsia="仿宋" w:cs="仿宋"/>
          <w:b/>
          <w:bCs/>
          <w:sz w:val="36"/>
          <w:szCs w:val="36"/>
          <w:highlight w:val="none"/>
        </w:rPr>
        <w:t>车辆租用合同</w:t>
      </w:r>
    </w:p>
    <w:p w14:paraId="649E2164">
      <w:pPr>
        <w:rPr>
          <w:rFonts w:hint="eastAsia" w:ascii="仿宋" w:hAnsi="仿宋" w:eastAsia="仿宋" w:cs="仿宋"/>
          <w:highlight w:val="none"/>
        </w:rPr>
      </w:pPr>
    </w:p>
    <w:p w14:paraId="3A4E3170">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甲方（承租方）：</w:t>
      </w:r>
    </w:p>
    <w:p w14:paraId="552CEFF5">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 xml:space="preserve">法定代表人： </w:t>
      </w:r>
    </w:p>
    <w:p w14:paraId="12B5BFEF">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地址：</w:t>
      </w:r>
    </w:p>
    <w:p w14:paraId="231A3C9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电话：</w:t>
      </w:r>
    </w:p>
    <w:p w14:paraId="5766F2D7">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 xml:space="preserve">乙方（出租方）： </w:t>
      </w:r>
    </w:p>
    <w:p w14:paraId="3DF0F535">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法定代表人：</w:t>
      </w:r>
    </w:p>
    <w:p w14:paraId="41F76C7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地址:</w:t>
      </w:r>
    </w:p>
    <w:p w14:paraId="29DB0544">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 xml:space="preserve">电话： </w:t>
      </w:r>
    </w:p>
    <w:p w14:paraId="75B683E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3160850C">
      <w:pPr>
        <w:keepNext w:val="0"/>
        <w:keepLines w:val="0"/>
        <w:pageBreakBefore w:val="0"/>
        <w:widowControl w:val="0"/>
        <w:kinsoku/>
        <w:wordWrap/>
        <w:overflowPunct/>
        <w:topLinePunct w:val="0"/>
        <w:autoSpaceDE/>
        <w:autoSpaceDN/>
        <w:bidi w:val="0"/>
        <w:adjustRightInd/>
        <w:snapToGrid w:val="0"/>
        <w:spacing w:line="360" w:lineRule="auto"/>
        <w:ind w:firstLine="397"/>
        <w:rPr>
          <w:rFonts w:hint="eastAsia" w:ascii="仿宋" w:hAnsi="仿宋" w:eastAsia="仿宋" w:cs="仿宋"/>
          <w:sz w:val="24"/>
          <w:szCs w:val="28"/>
          <w:highlight w:val="none"/>
        </w:rPr>
      </w:pPr>
      <w:r>
        <w:rPr>
          <w:rFonts w:hint="eastAsia" w:ascii="仿宋" w:hAnsi="仿宋" w:eastAsia="仿宋" w:cs="仿宋"/>
          <w:sz w:val="24"/>
          <w:szCs w:val="28"/>
          <w:highlight w:val="none"/>
        </w:rPr>
        <w:t>根据《</w:t>
      </w:r>
      <w:r>
        <w:rPr>
          <w:rFonts w:hint="eastAsia" w:ascii="仿宋" w:hAnsi="仿宋" w:eastAsia="仿宋" w:cs="仿宋"/>
          <w:sz w:val="24"/>
          <w:szCs w:val="28"/>
          <w:highlight w:val="none"/>
          <w:lang w:eastAsia="zh-CN"/>
        </w:rPr>
        <w:t>民法典</w:t>
      </w:r>
      <w:r>
        <w:rPr>
          <w:rFonts w:hint="eastAsia" w:ascii="仿宋" w:hAnsi="仿宋" w:eastAsia="仿宋" w:cs="仿宋"/>
          <w:sz w:val="24"/>
          <w:szCs w:val="28"/>
          <w:highlight w:val="none"/>
        </w:rPr>
        <w:t>》、交通部及旅游运输有关规定、《西安市汽车租赁业管理办法》等有关法律、法规、规章，经甲、乙双方友好、自愿、平等协商，依据互惠互利、诚信合作的原则，乙方为甲方提供用车服务，现就有关事宜达成如下协议。</w:t>
      </w:r>
    </w:p>
    <w:p w14:paraId="6C800DF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19261129">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sz w:val="24"/>
          <w:szCs w:val="28"/>
          <w:highlight w:val="none"/>
        </w:rPr>
      </w:pPr>
      <w:r>
        <w:rPr>
          <w:rFonts w:hint="default" w:ascii="仿宋" w:hAnsi="仿宋" w:eastAsia="仿宋" w:cs="仿宋"/>
          <w:b/>
          <w:bCs/>
          <w:kern w:val="2"/>
          <w:sz w:val="24"/>
          <w:szCs w:val="28"/>
          <w:highlight w:val="none"/>
          <w:lang w:val="en-US" w:eastAsia="zh-CN" w:bidi="ar-SA"/>
        </w:rPr>
        <w:t>第一条</w:t>
      </w:r>
      <w:r>
        <w:rPr>
          <w:rFonts w:hint="eastAsia" w:ascii="仿宋" w:hAnsi="仿宋" w:eastAsia="仿宋" w:cs="仿宋"/>
          <w:b/>
          <w:bCs/>
          <w:kern w:val="2"/>
          <w:sz w:val="24"/>
          <w:szCs w:val="28"/>
          <w:highlight w:val="none"/>
          <w:lang w:val="en-US" w:eastAsia="zh-CN" w:bidi="ar-SA"/>
        </w:rPr>
        <w:t xml:space="preserve"> </w:t>
      </w:r>
      <w:r>
        <w:rPr>
          <w:rFonts w:hint="eastAsia" w:ascii="仿宋" w:hAnsi="仿宋" w:eastAsia="仿宋" w:cs="仿宋"/>
          <w:b/>
          <w:bCs/>
          <w:sz w:val="24"/>
          <w:szCs w:val="28"/>
          <w:highlight w:val="none"/>
        </w:rPr>
        <w:t>合同内容</w:t>
      </w:r>
    </w:p>
    <w:p w14:paraId="57BED5C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b/>
          <w:sz w:val="24"/>
          <w:szCs w:val="28"/>
          <w:highlight w:val="none"/>
        </w:rPr>
      </w:pPr>
      <w:r>
        <w:rPr>
          <w:rFonts w:hint="eastAsia" w:ascii="仿宋" w:hAnsi="仿宋" w:eastAsia="仿宋" w:cs="仿宋"/>
          <w:sz w:val="24"/>
          <w:szCs w:val="28"/>
          <w:highlight w:val="none"/>
        </w:rPr>
        <w:t>1、总体费用以实际完成工作量计算，两年不超过总预算</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万，每年不得超过</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万元。服务期限两年，合同一年一签，第一年合同期满医院对该项目进行满意度调查且达到百分之80%可以续签下一年合同则达不到80%终止合同重新招标。</w:t>
      </w:r>
    </w:p>
    <w:p w14:paraId="5A54500C">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2、协议有效期：自合同签订之日年___月___日至年月日项目执行完毕。</w:t>
      </w:r>
    </w:p>
    <w:p w14:paraId="16822D4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3、服务内容：根据甲方院办和健康管理中心接送体检人员的实际需求及具体要求，乙方为甲方提供相应的汽车租赁服务。</w:t>
      </w:r>
    </w:p>
    <w:p w14:paraId="1438134C">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4、结算及付款方式：</w:t>
      </w:r>
    </w:p>
    <w:p w14:paraId="7341F779">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20" w:leftChars="0" w:hanging="420" w:firstLineChars="0"/>
        <w:rPr>
          <w:rFonts w:hint="eastAsia" w:ascii="仿宋" w:hAnsi="仿宋" w:eastAsia="仿宋" w:cs="仿宋"/>
          <w:sz w:val="24"/>
          <w:szCs w:val="28"/>
          <w:highlight w:val="none"/>
        </w:rPr>
      </w:pPr>
      <w:r>
        <w:rPr>
          <w:rFonts w:hint="eastAsia" w:ascii="仿宋" w:hAnsi="仿宋" w:eastAsia="仿宋" w:cs="仿宋"/>
          <w:kern w:val="2"/>
          <w:sz w:val="24"/>
          <w:szCs w:val="28"/>
          <w:highlight w:val="none"/>
          <w:lang w:val="en-US" w:eastAsia="zh-CN" w:bidi="ar-SA"/>
        </w:rPr>
        <w:t>1)</w:t>
      </w:r>
      <w:r>
        <w:rPr>
          <w:rFonts w:hint="eastAsia" w:ascii="仿宋" w:hAnsi="仿宋" w:eastAsia="仿宋" w:cs="仿宋"/>
          <w:sz w:val="24"/>
          <w:szCs w:val="28"/>
          <w:highlight w:val="none"/>
        </w:rPr>
        <w:t>按磋商文件要求，此次合同有效期内用车费用总价不超过</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万元（大写）；</w:t>
      </w:r>
    </w:p>
    <w:p w14:paraId="17123C0F">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kern w:val="2"/>
          <w:sz w:val="24"/>
          <w:szCs w:val="28"/>
          <w:highlight w:val="none"/>
          <w:lang w:val="en-US" w:eastAsia="zh-CN" w:bidi="ar-SA"/>
        </w:rPr>
        <w:t>2)合同签订日起，每3个月结算一次</w:t>
      </w:r>
      <w:r>
        <w:rPr>
          <w:rFonts w:hint="eastAsia" w:ascii="仿宋" w:hAnsi="仿宋" w:eastAsia="仿宋" w:cs="仿宋"/>
          <w:sz w:val="24"/>
          <w:szCs w:val="28"/>
          <w:highlight w:val="none"/>
          <w:lang w:eastAsia="zh-CN"/>
        </w:rPr>
        <w:t>；</w:t>
      </w:r>
    </w:p>
    <w:p w14:paraId="2A7667F6">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rPr>
          <w:rFonts w:hint="eastAsia" w:ascii="仿宋" w:hAnsi="仿宋" w:eastAsia="仿宋" w:cs="仿宋"/>
          <w:b/>
          <w:bCs/>
          <w:sz w:val="24"/>
          <w:szCs w:val="28"/>
          <w:highlight w:val="none"/>
        </w:rPr>
      </w:pPr>
      <w:r>
        <w:rPr>
          <w:rFonts w:hint="eastAsia" w:ascii="仿宋" w:hAnsi="仿宋" w:eastAsia="仿宋" w:cs="仿宋"/>
          <w:kern w:val="2"/>
          <w:sz w:val="24"/>
          <w:szCs w:val="28"/>
          <w:highlight w:val="none"/>
          <w:lang w:val="en-US" w:eastAsia="zh-CN" w:bidi="ar-SA"/>
        </w:rPr>
        <w:t>3)</w:t>
      </w:r>
      <w:r>
        <w:rPr>
          <w:rFonts w:hint="eastAsia" w:ascii="仿宋" w:hAnsi="仿宋" w:eastAsia="仿宋" w:cs="仿宋"/>
          <w:sz w:val="24"/>
          <w:szCs w:val="28"/>
          <w:highlight w:val="none"/>
        </w:rPr>
        <w:t>乙方应在甲方付款前开具正式合法足额发票及对应账单，经甲方确认无误后甲方予以支付。若乙方未按合同约定提供合法合规发票及账单的，甲方付款期限顺延，且不承担任何责任。</w:t>
      </w:r>
    </w:p>
    <w:p w14:paraId="4D2B5774">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20" w:leftChars="0" w:hanging="420" w:firstLineChars="0"/>
        <w:rPr>
          <w:rFonts w:hint="eastAsia" w:ascii="仿宋" w:hAnsi="仿宋" w:eastAsia="仿宋" w:cs="仿宋"/>
          <w:sz w:val="24"/>
          <w:szCs w:val="28"/>
          <w:highlight w:val="none"/>
        </w:rPr>
      </w:pPr>
      <w:r>
        <w:rPr>
          <w:rFonts w:hint="eastAsia" w:ascii="仿宋" w:hAnsi="仿宋" w:eastAsia="仿宋" w:cs="仿宋"/>
          <w:kern w:val="2"/>
          <w:sz w:val="24"/>
          <w:szCs w:val="28"/>
          <w:highlight w:val="none"/>
          <w:lang w:val="en-US" w:eastAsia="zh-CN" w:bidi="ar-SA"/>
        </w:rPr>
        <w:t>4)</w:t>
      </w:r>
      <w:r>
        <w:rPr>
          <w:rFonts w:hint="eastAsia" w:ascii="仿宋" w:hAnsi="仿宋" w:eastAsia="仿宋" w:cs="仿宋"/>
          <w:sz w:val="24"/>
          <w:szCs w:val="28"/>
          <w:highlight w:val="none"/>
        </w:rPr>
        <w:t>乙方账户</w:t>
      </w:r>
    </w:p>
    <w:p w14:paraId="13111C85">
      <w:pPr>
        <w:pStyle w:val="15"/>
        <w:keepNext w:val="0"/>
        <w:keepLines w:val="0"/>
        <w:pageBreakBefore w:val="0"/>
        <w:widowControl w:val="0"/>
        <w:kinsoku/>
        <w:wordWrap/>
        <w:overflowPunct/>
        <w:topLinePunct w:val="0"/>
        <w:autoSpaceDE/>
        <w:autoSpaceDN/>
        <w:bidi w:val="0"/>
        <w:adjustRightInd/>
        <w:snapToGrid w:val="0"/>
        <w:spacing w:line="360" w:lineRule="auto"/>
        <w:ind w:left="0" w:firstLine="241" w:firstLineChars="100"/>
        <w:rPr>
          <w:rFonts w:hint="eastAsia" w:ascii="仿宋" w:hAnsi="仿宋" w:eastAsia="仿宋" w:cs="仿宋"/>
          <w:sz w:val="24"/>
          <w:szCs w:val="28"/>
          <w:highlight w:val="none"/>
        </w:rPr>
      </w:pPr>
      <w:r>
        <w:rPr>
          <w:rFonts w:hint="eastAsia" w:ascii="仿宋" w:hAnsi="仿宋" w:eastAsia="仿宋" w:cs="仿宋"/>
          <w:b/>
          <w:bCs/>
          <w:sz w:val="24"/>
          <w:szCs w:val="28"/>
          <w:highlight w:val="none"/>
        </w:rPr>
        <w:t>户名：</w:t>
      </w:r>
      <w:r>
        <w:rPr>
          <w:rFonts w:hint="eastAsia" w:ascii="仿宋" w:hAnsi="仿宋" w:eastAsia="仿宋" w:cs="仿宋"/>
          <w:sz w:val="24"/>
          <w:szCs w:val="28"/>
          <w:highlight w:val="none"/>
        </w:rPr>
        <w:t xml:space="preserve"> </w:t>
      </w:r>
    </w:p>
    <w:p w14:paraId="159B9548">
      <w:pPr>
        <w:keepNext w:val="0"/>
        <w:keepLines w:val="0"/>
        <w:pageBreakBefore w:val="0"/>
        <w:widowControl w:val="0"/>
        <w:kinsoku/>
        <w:wordWrap/>
        <w:overflowPunct/>
        <w:topLinePunct w:val="0"/>
        <w:autoSpaceDE/>
        <w:autoSpaceDN/>
        <w:bidi w:val="0"/>
        <w:adjustRightInd/>
        <w:snapToGrid w:val="0"/>
        <w:spacing w:line="360" w:lineRule="auto"/>
        <w:ind w:firstLine="241" w:firstLineChars="1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帐号：</w:t>
      </w:r>
    </w:p>
    <w:p w14:paraId="006C03DB">
      <w:pPr>
        <w:keepNext w:val="0"/>
        <w:keepLines w:val="0"/>
        <w:pageBreakBefore w:val="0"/>
        <w:widowControl w:val="0"/>
        <w:kinsoku/>
        <w:wordWrap/>
        <w:overflowPunct/>
        <w:topLinePunct w:val="0"/>
        <w:autoSpaceDE/>
        <w:autoSpaceDN/>
        <w:bidi w:val="0"/>
        <w:adjustRightInd/>
        <w:snapToGrid w:val="0"/>
        <w:spacing w:line="360" w:lineRule="auto"/>
        <w:ind w:firstLine="241" w:firstLineChars="100"/>
        <w:rPr>
          <w:rFonts w:hint="eastAsia" w:ascii="仿宋" w:hAnsi="仿宋" w:eastAsia="仿宋" w:cs="仿宋"/>
          <w:b/>
          <w:bCs/>
          <w:sz w:val="24"/>
          <w:szCs w:val="28"/>
          <w:highlight w:val="none"/>
        </w:rPr>
      </w:pPr>
      <w:r>
        <w:rPr>
          <w:rFonts w:hint="eastAsia" w:ascii="仿宋" w:hAnsi="仿宋" w:eastAsia="仿宋" w:cs="仿宋"/>
          <w:b/>
          <w:bCs/>
          <w:sz w:val="24"/>
          <w:szCs w:val="28"/>
          <w:highlight w:val="none"/>
        </w:rPr>
        <w:t xml:space="preserve">开户行： </w:t>
      </w:r>
    </w:p>
    <w:p w14:paraId="5D8EB475">
      <w:pPr>
        <w:keepNext w:val="0"/>
        <w:keepLines w:val="0"/>
        <w:pageBreakBefore w:val="0"/>
        <w:widowControl w:val="0"/>
        <w:kinsoku/>
        <w:wordWrap/>
        <w:overflowPunct/>
        <w:topLinePunct w:val="0"/>
        <w:autoSpaceDE/>
        <w:autoSpaceDN/>
        <w:bidi w:val="0"/>
        <w:adjustRightInd/>
        <w:snapToGrid w:val="0"/>
        <w:spacing w:line="360" w:lineRule="auto"/>
        <w:ind w:firstLine="420"/>
        <w:rPr>
          <w:rFonts w:hint="eastAsia" w:ascii="仿宋" w:hAnsi="仿宋" w:eastAsia="仿宋" w:cs="仿宋"/>
          <w:sz w:val="24"/>
          <w:szCs w:val="28"/>
          <w:highlight w:val="none"/>
        </w:rPr>
      </w:pPr>
    </w:p>
    <w:p w14:paraId="6E5D71DF">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第二条　甲方（承租方）的权利和义务</w:t>
      </w:r>
    </w:p>
    <w:p w14:paraId="622A61B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甲方（承租方）的权利</w:t>
      </w:r>
    </w:p>
    <w:p w14:paraId="6B3A5A65">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1、按合同的约定拥有租赁车辆使用权；</w:t>
      </w:r>
    </w:p>
    <w:p w14:paraId="2CCE2924">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2、有权获知保证安全驾驶所需的车辆技术状况及性能信息；</w:t>
      </w:r>
    </w:p>
    <w:p w14:paraId="292A948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3、有权获得乙方为保障租赁车辆使用功能所提供的相应服务。</w:t>
      </w:r>
    </w:p>
    <w:p w14:paraId="0E5148A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甲方（承租方）的义务</w:t>
      </w:r>
    </w:p>
    <w:p w14:paraId="488F69B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1、应至少提前一天确定用车需求计划：包括时间、起止地点及路线、人数（具体乘车人）、车型座位、联系人及电话、特殊服务要求；并向乙方进行电话通知；</w:t>
      </w:r>
    </w:p>
    <w:p w14:paraId="726035C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2、在车辆使用过程中，甲方有义务和责任向具体乘车人宣传爱护车辆设施设备，如有人为因素损坏应照价赔偿；</w:t>
      </w:r>
    </w:p>
    <w:p w14:paraId="54DA789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3、在车辆行驶过程中，应尊重乙方驾驶员的工作，不能要求驾驶员作不利安全的举动，不能影响驾驶员的安全行驶，不能强迫驾驶员改变行程等，否则由此造成的后果由甲方负责；</w:t>
      </w:r>
    </w:p>
    <w:p w14:paraId="6AF2A40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4、按合同约定交纳租金及其他费用。</w:t>
      </w:r>
    </w:p>
    <w:p w14:paraId="31B22564">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7A0E7EC8">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第三条　乙方（出租方）的权利和义务</w:t>
      </w:r>
    </w:p>
    <w:p w14:paraId="19021860">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乙方（出租方）的权利</w:t>
      </w:r>
    </w:p>
    <w:p w14:paraId="5CC4EB3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1、拥有租赁车辆所有权；</w:t>
      </w:r>
    </w:p>
    <w:p w14:paraId="31AE76BB">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2、依合同向甲方计收租金及约定费用。</w:t>
      </w:r>
      <w:bookmarkStart w:id="0" w:name="_GoBack"/>
      <w:bookmarkEnd w:id="0"/>
    </w:p>
    <w:p w14:paraId="395F056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乙方（出租方）的义务</w:t>
      </w:r>
    </w:p>
    <w:p w14:paraId="0391A1A6">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1、在合同约定时间保证有足够数量的车辆用于保质保量完成合同规定的接送服务；</w:t>
      </w:r>
    </w:p>
    <w:p w14:paraId="1F15364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2、保证提供接送服务的车辆：</w:t>
      </w:r>
    </w:p>
    <w:p w14:paraId="58495500">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1）乙方保证为甲方提供的车辆购买时间在3年内</w:t>
      </w:r>
    </w:p>
    <w:p w14:paraId="3FD919E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2）车况良好，不使用事故车辆</w:t>
      </w:r>
    </w:p>
    <w:p w14:paraId="606CE93E">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3）车辆已购买交强险和商业险全险</w:t>
      </w:r>
    </w:p>
    <w:p w14:paraId="5A6E9477">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4）必须有足额的乘客保险</w:t>
      </w:r>
    </w:p>
    <w:p w14:paraId="2E3E0FA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5）车船使用费及其它依法应缴纳的行政费用齐全</w:t>
      </w:r>
    </w:p>
    <w:p w14:paraId="3B8CBD4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3、保证提供接送服务的车辆驾驶员：</w:t>
      </w: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1）年龄：驾驶员年龄不超过55岁，无不良记录</w:t>
      </w:r>
    </w:p>
    <w:p w14:paraId="0934EE4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2）具有5年以上驾龄（以取得驾照时间算起）</w:t>
      </w:r>
    </w:p>
    <w:p w14:paraId="66AC8485">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w:t>
      </w:r>
      <w:r>
        <w:rPr>
          <w:rFonts w:hint="eastAsia" w:ascii="仿宋" w:hAnsi="仿宋" w:eastAsia="仿宋" w:cs="仿宋"/>
          <w:color w:val="000000"/>
          <w:sz w:val="24"/>
          <w:szCs w:val="28"/>
          <w:highlight w:val="none"/>
        </w:rPr>
        <w:t>所提供车辆需具有交通运输主管部门核发有效的《中华人民共和国道路营运证》</w:t>
      </w:r>
    </w:p>
    <w:p w14:paraId="331AE44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4）必须具有与所驾驶的车辆相符合的驾驶级别车辆资质</w:t>
      </w:r>
    </w:p>
    <w:p w14:paraId="003A29B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5）与租车公司有劳动合同关系的正式员工</w:t>
      </w:r>
    </w:p>
    <w:p w14:paraId="49842C9F">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6）遵纪守法，遵守交通规则，无违法犯罪记录</w:t>
      </w:r>
    </w:p>
    <w:p w14:paraId="3C569313">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7）营运任务不能转包</w:t>
      </w:r>
    </w:p>
    <w:p w14:paraId="4A26BC1A">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8）服务态度：工作时衣着整洁，使用文明用语</w:t>
      </w:r>
    </w:p>
    <w:p w14:paraId="743E45A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9）服务质量：符合公司服务要求</w:t>
      </w:r>
    </w:p>
    <w:p w14:paraId="4E043696">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10不能由于服务质量和服务态度的问题给我院造成负面影响。</w:t>
      </w:r>
    </w:p>
    <w:p w14:paraId="076DBDB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4、按甲方要求的具体时间、地点要求派相应数量、车型提供接送服务；</w:t>
      </w:r>
    </w:p>
    <w:p w14:paraId="77224DFF">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5、在本合同履行过程中出现的所有事故、纠纷由乙方承担协调、赔偿和由此产生的所有责任和费用；</w:t>
      </w:r>
    </w:p>
    <w:p w14:paraId="4845958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6、对所获得的甲方信息负有保密义务。</w:t>
      </w:r>
    </w:p>
    <w:p w14:paraId="1248F91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29E8324C">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第四条　租金（单价）</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0"/>
        <w:gridCol w:w="1579"/>
        <w:gridCol w:w="1632"/>
        <w:gridCol w:w="1162"/>
        <w:gridCol w:w="1246"/>
      </w:tblGrid>
      <w:tr w14:paraId="78C2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975" w:type="pct"/>
            <w:vMerge w:val="restart"/>
            <w:tcBorders>
              <w:tl2br w:val="single" w:color="000000" w:sz="4" w:space="0"/>
            </w:tcBorders>
            <w:noWrap/>
          </w:tcPr>
          <w:p w14:paraId="59972142">
            <w:pPr>
              <w:keepNext w:val="0"/>
              <w:keepLines w:val="0"/>
              <w:pageBreakBefore w:val="0"/>
              <w:kinsoku/>
              <w:wordWrap/>
              <w:overflowPunct/>
              <w:topLinePunct w:val="0"/>
              <w:autoSpaceDE/>
              <w:autoSpaceDN/>
              <w:bidi w:val="0"/>
              <w:adjustRightInd/>
              <w:snapToGrid w:val="0"/>
              <w:spacing w:line="240" w:lineRule="auto"/>
              <w:jc w:val="right"/>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报价内容</w:t>
            </w:r>
          </w:p>
          <w:p w14:paraId="216109A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b/>
                <w:color w:val="000000"/>
                <w:sz w:val="20"/>
                <w:szCs w:val="20"/>
                <w:highlight w:val="none"/>
              </w:rPr>
            </w:pPr>
          </w:p>
          <w:p w14:paraId="4E22C87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b/>
                <w:color w:val="000000"/>
                <w:sz w:val="20"/>
                <w:szCs w:val="20"/>
                <w:highlight w:val="none"/>
              </w:rPr>
            </w:pPr>
          </w:p>
          <w:p w14:paraId="2F43373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汽车租用项目名称</w:t>
            </w:r>
          </w:p>
        </w:tc>
        <w:tc>
          <w:tcPr>
            <w:tcW w:w="1728" w:type="pct"/>
            <w:gridSpan w:val="2"/>
            <w:noWrap/>
            <w:vAlign w:val="center"/>
          </w:tcPr>
          <w:p w14:paraId="33C5FEA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磋商报价</w:t>
            </w:r>
          </w:p>
        </w:tc>
        <w:tc>
          <w:tcPr>
            <w:tcW w:w="625" w:type="pct"/>
            <w:vMerge w:val="restart"/>
            <w:noWrap/>
            <w:vAlign w:val="center"/>
          </w:tcPr>
          <w:p w14:paraId="46CFDA1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每超</w:t>
            </w:r>
          </w:p>
          <w:p w14:paraId="0B0A83E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1h收费</w:t>
            </w:r>
          </w:p>
        </w:tc>
        <w:tc>
          <w:tcPr>
            <w:tcW w:w="670" w:type="pct"/>
            <w:vMerge w:val="restart"/>
            <w:noWrap/>
            <w:vAlign w:val="center"/>
          </w:tcPr>
          <w:p w14:paraId="4E5E4B02">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备注</w:t>
            </w:r>
          </w:p>
        </w:tc>
      </w:tr>
      <w:tr w14:paraId="19CF5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jc w:val="center"/>
        </w:trPr>
        <w:tc>
          <w:tcPr>
            <w:tcW w:w="1975" w:type="pct"/>
            <w:vMerge w:val="continue"/>
            <w:tcBorders>
              <w:tl2br w:val="single" w:color="000000" w:sz="4" w:space="0"/>
            </w:tcBorders>
            <w:noWrap/>
          </w:tcPr>
          <w:p w14:paraId="7A894314">
            <w:pPr>
              <w:keepNext w:val="0"/>
              <w:keepLines w:val="0"/>
              <w:pageBreakBefore w:val="0"/>
              <w:kinsoku/>
              <w:wordWrap/>
              <w:overflowPunct/>
              <w:topLinePunct w:val="0"/>
              <w:autoSpaceDE/>
              <w:autoSpaceDN/>
              <w:bidi w:val="0"/>
              <w:adjustRightInd/>
              <w:snapToGrid w:val="0"/>
              <w:spacing w:line="240" w:lineRule="auto"/>
              <w:jc w:val="right"/>
              <w:rPr>
                <w:rFonts w:hint="eastAsia" w:ascii="仿宋" w:hAnsi="仿宋" w:eastAsia="仿宋" w:cs="仿宋"/>
                <w:b/>
                <w:color w:val="000000"/>
                <w:sz w:val="20"/>
                <w:szCs w:val="20"/>
                <w:highlight w:val="none"/>
              </w:rPr>
            </w:pPr>
          </w:p>
        </w:tc>
        <w:tc>
          <w:tcPr>
            <w:tcW w:w="849" w:type="pct"/>
            <w:noWrap/>
            <w:vAlign w:val="center"/>
          </w:tcPr>
          <w:p w14:paraId="4AF0C82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8小时以内（100km以内）</w:t>
            </w:r>
          </w:p>
        </w:tc>
        <w:tc>
          <w:tcPr>
            <w:tcW w:w="878" w:type="pct"/>
            <w:noWrap/>
            <w:vAlign w:val="center"/>
          </w:tcPr>
          <w:p w14:paraId="1FD9B4E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4小时以内</w:t>
            </w:r>
          </w:p>
          <w:p w14:paraId="728B6F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w:t>
            </w:r>
            <w:r>
              <w:rPr>
                <w:rFonts w:hint="eastAsia" w:ascii="仿宋" w:hAnsi="仿宋" w:eastAsia="仿宋" w:cs="仿宋"/>
                <w:b/>
                <w:sz w:val="20"/>
                <w:szCs w:val="20"/>
                <w:highlight w:val="none"/>
                <w:lang w:val="en-US" w:eastAsia="zh-CN"/>
              </w:rPr>
              <w:t>50</w:t>
            </w:r>
            <w:r>
              <w:rPr>
                <w:rFonts w:hint="eastAsia" w:ascii="仿宋" w:hAnsi="仿宋" w:eastAsia="仿宋" w:cs="仿宋"/>
                <w:b/>
                <w:sz w:val="20"/>
                <w:szCs w:val="20"/>
                <w:highlight w:val="none"/>
              </w:rPr>
              <w:t>km以内）</w:t>
            </w:r>
          </w:p>
        </w:tc>
        <w:tc>
          <w:tcPr>
            <w:tcW w:w="625" w:type="pct"/>
            <w:vMerge w:val="continue"/>
            <w:noWrap/>
            <w:vAlign w:val="center"/>
          </w:tcPr>
          <w:p w14:paraId="7EF42A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p>
        </w:tc>
        <w:tc>
          <w:tcPr>
            <w:tcW w:w="670" w:type="pct"/>
            <w:vMerge w:val="continue"/>
            <w:noWrap/>
            <w:vAlign w:val="center"/>
          </w:tcPr>
          <w:p w14:paraId="475C659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p>
        </w:tc>
      </w:tr>
      <w:tr w14:paraId="06DB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7E62C404">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5座</w:t>
            </w:r>
          </w:p>
        </w:tc>
        <w:tc>
          <w:tcPr>
            <w:tcW w:w="849" w:type="pct"/>
            <w:noWrap/>
            <w:vAlign w:val="center"/>
          </w:tcPr>
          <w:p w14:paraId="35DDBF1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4F0FAA8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59C2CCD4">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5736B612">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68BD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20FE2339">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6-7座</w:t>
            </w:r>
          </w:p>
        </w:tc>
        <w:tc>
          <w:tcPr>
            <w:tcW w:w="849" w:type="pct"/>
            <w:noWrap/>
            <w:vAlign w:val="center"/>
          </w:tcPr>
          <w:p w14:paraId="112A510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18699EA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4D247E1C">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494A8664">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2956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7DBA9DDA">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8-9座</w:t>
            </w:r>
          </w:p>
        </w:tc>
        <w:tc>
          <w:tcPr>
            <w:tcW w:w="849" w:type="pct"/>
            <w:noWrap/>
            <w:vAlign w:val="center"/>
          </w:tcPr>
          <w:p w14:paraId="5FDF92D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481AB0A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30156C67">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0B2D80C8">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36A8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14B46376">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10-15座</w:t>
            </w:r>
          </w:p>
        </w:tc>
        <w:tc>
          <w:tcPr>
            <w:tcW w:w="849" w:type="pct"/>
            <w:noWrap/>
            <w:vAlign w:val="center"/>
          </w:tcPr>
          <w:p w14:paraId="65B7B0A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5401ACD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07D3F416">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084D5504">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47C8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7FDF3560">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16-20座</w:t>
            </w:r>
          </w:p>
        </w:tc>
        <w:tc>
          <w:tcPr>
            <w:tcW w:w="849" w:type="pct"/>
            <w:noWrap/>
            <w:vAlign w:val="center"/>
          </w:tcPr>
          <w:p w14:paraId="034723D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5D97A5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09601D33">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6AF64A0D">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0768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7EA0E1FE">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20-30座</w:t>
            </w:r>
          </w:p>
        </w:tc>
        <w:tc>
          <w:tcPr>
            <w:tcW w:w="849" w:type="pct"/>
            <w:noWrap/>
            <w:vAlign w:val="center"/>
          </w:tcPr>
          <w:p w14:paraId="639BDF1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16DA060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5E13F48B">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1305F9E7">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1996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09D492CC">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大巴30-39座</w:t>
            </w:r>
          </w:p>
        </w:tc>
        <w:tc>
          <w:tcPr>
            <w:tcW w:w="849" w:type="pct"/>
            <w:noWrap/>
            <w:vAlign w:val="center"/>
          </w:tcPr>
          <w:p w14:paraId="20D250C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4230EC1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793143B8">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65A67339">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1959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3D5E0859">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大巴40-49座</w:t>
            </w:r>
          </w:p>
        </w:tc>
        <w:tc>
          <w:tcPr>
            <w:tcW w:w="849" w:type="pct"/>
            <w:noWrap/>
            <w:vAlign w:val="center"/>
          </w:tcPr>
          <w:p w14:paraId="1D832E7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3E18078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13DB1808">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2E6C05C5">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438B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75" w:type="pct"/>
            <w:noWrap/>
            <w:vAlign w:val="center"/>
          </w:tcPr>
          <w:p w14:paraId="6A2A4B3E">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b/>
                <w:sz w:val="20"/>
                <w:szCs w:val="20"/>
                <w:highlight w:val="none"/>
              </w:rPr>
            </w:pPr>
            <w:r>
              <w:rPr>
                <w:rFonts w:hint="eastAsia" w:ascii="仿宋" w:hAnsi="仿宋" w:eastAsia="仿宋" w:cs="仿宋"/>
                <w:b/>
                <w:sz w:val="20"/>
                <w:szCs w:val="20"/>
                <w:highlight w:val="none"/>
              </w:rPr>
              <w:t>大巴50-59座</w:t>
            </w:r>
          </w:p>
        </w:tc>
        <w:tc>
          <w:tcPr>
            <w:tcW w:w="849" w:type="pct"/>
            <w:noWrap/>
            <w:vAlign w:val="center"/>
          </w:tcPr>
          <w:p w14:paraId="5E72906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878" w:type="pct"/>
            <w:noWrap/>
            <w:vAlign w:val="center"/>
          </w:tcPr>
          <w:p w14:paraId="184A111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sz w:val="20"/>
                <w:szCs w:val="20"/>
                <w:highlight w:val="none"/>
              </w:rPr>
            </w:pPr>
          </w:p>
        </w:tc>
        <w:tc>
          <w:tcPr>
            <w:tcW w:w="625" w:type="pct"/>
            <w:noWrap/>
            <w:vAlign w:val="center"/>
          </w:tcPr>
          <w:p w14:paraId="12FF2E16">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c>
          <w:tcPr>
            <w:tcW w:w="670" w:type="pct"/>
            <w:noWrap/>
            <w:vAlign w:val="center"/>
          </w:tcPr>
          <w:p w14:paraId="71BE362F">
            <w:pPr>
              <w:keepNext w:val="0"/>
              <w:keepLines w:val="0"/>
              <w:pageBreakBefore w:val="0"/>
              <w:kinsoku/>
              <w:wordWrap/>
              <w:overflowPunct/>
              <w:topLinePunct w:val="0"/>
              <w:autoSpaceDE/>
              <w:autoSpaceDN/>
              <w:bidi w:val="0"/>
              <w:adjustRightInd/>
              <w:snapToGrid w:val="0"/>
              <w:spacing w:line="240" w:lineRule="auto"/>
              <w:ind w:firstLine="300" w:firstLineChars="150"/>
              <w:rPr>
                <w:rFonts w:hint="eastAsia" w:ascii="仿宋" w:hAnsi="仿宋" w:eastAsia="仿宋" w:cs="仿宋"/>
                <w:sz w:val="20"/>
                <w:szCs w:val="20"/>
                <w:highlight w:val="none"/>
              </w:rPr>
            </w:pPr>
          </w:p>
        </w:tc>
      </w:tr>
      <w:tr w14:paraId="4BEF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975" w:type="pct"/>
            <w:noWrap/>
            <w:vAlign w:val="center"/>
          </w:tcPr>
          <w:p w14:paraId="522D5814">
            <w:pPr>
              <w:keepNext w:val="0"/>
              <w:keepLines w:val="0"/>
              <w:pageBreakBefore w:val="0"/>
              <w:tabs>
                <w:tab w:val="left" w:pos="945"/>
                <w:tab w:val="left" w:pos="1240"/>
              </w:tabs>
              <w:kinsoku/>
              <w:wordWrap/>
              <w:overflowPunct/>
              <w:topLinePunct w:val="0"/>
              <w:autoSpaceDE/>
              <w:autoSpaceDN/>
              <w:bidi w:val="0"/>
              <w:adjustRightInd/>
              <w:snapToGrid w:val="0"/>
              <w:spacing w:line="24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lang w:eastAsia="zh-CN"/>
              </w:rPr>
              <w:t>综合单价（元）</w:t>
            </w:r>
          </w:p>
        </w:tc>
        <w:tc>
          <w:tcPr>
            <w:tcW w:w="3024" w:type="pct"/>
            <w:gridSpan w:val="4"/>
            <w:noWrap/>
            <w:vAlign w:val="center"/>
          </w:tcPr>
          <w:p w14:paraId="70AB6126">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小写：</w:t>
            </w:r>
          </w:p>
          <w:p w14:paraId="4ACD563A">
            <w:pPr>
              <w:keepNext w:val="0"/>
              <w:keepLines w:val="0"/>
              <w:pageBreakBefore w:val="0"/>
              <w:kinsoku/>
              <w:wordWrap/>
              <w:overflowPunct/>
              <w:topLinePunct w:val="0"/>
              <w:autoSpaceDE/>
              <w:autoSpaceDN/>
              <w:bidi w:val="0"/>
              <w:adjustRightInd/>
              <w:snapToGrid w:val="0"/>
              <w:spacing w:line="240" w:lineRule="auto"/>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大写：</w:t>
            </w:r>
            <w:r>
              <w:rPr>
                <w:rFonts w:hint="eastAsia" w:ascii="仿宋" w:hAnsi="仿宋" w:eastAsia="仿宋" w:cs="仿宋"/>
                <w:sz w:val="20"/>
                <w:szCs w:val="20"/>
                <w:highlight w:val="none"/>
                <w:lang w:val="en-US" w:eastAsia="zh-CN"/>
              </w:rPr>
              <w:t xml:space="preserve">    </w:t>
            </w:r>
          </w:p>
        </w:tc>
      </w:tr>
      <w:tr w14:paraId="7689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exact"/>
          <w:jc w:val="center"/>
        </w:trPr>
        <w:tc>
          <w:tcPr>
            <w:tcW w:w="5000" w:type="pct"/>
            <w:gridSpan w:val="5"/>
            <w:noWrap/>
            <w:vAlign w:val="center"/>
          </w:tcPr>
          <w:p w14:paraId="046527BE">
            <w:pPr>
              <w:keepNext w:val="0"/>
              <w:keepLines w:val="0"/>
              <w:pageBreakBefore w:val="0"/>
              <w:kinsoku/>
              <w:wordWrap/>
              <w:overflowPunct/>
              <w:topLinePunct w:val="0"/>
              <w:autoSpaceDE/>
              <w:autoSpaceDN/>
              <w:bidi w:val="0"/>
              <w:adjustRightInd/>
              <w:snapToGrid w:val="0"/>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备注：</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rPr>
              <w:t>磋商报价包括停车费、路桥费、燃油费、司机服务费等完成接送人员所有费用。司机食宿自理。</w:t>
            </w:r>
          </w:p>
          <w:p w14:paraId="33521B2B">
            <w:pPr>
              <w:keepNext w:val="0"/>
              <w:keepLines w:val="0"/>
              <w:pageBreakBefore w:val="0"/>
              <w:kinsoku/>
              <w:wordWrap/>
              <w:overflowPunct/>
              <w:topLinePunct w:val="0"/>
              <w:autoSpaceDE/>
              <w:autoSpaceDN/>
              <w:bidi w:val="0"/>
              <w:adjustRightInd/>
              <w:snapToGrid w:val="0"/>
              <w:spacing w:line="240" w:lineRule="auto"/>
              <w:ind w:firstLine="602" w:firstLineChars="300"/>
              <w:rPr>
                <w:rFonts w:hint="default" w:ascii="仿宋" w:hAnsi="仿宋" w:eastAsia="仿宋" w:cs="仿宋"/>
                <w:sz w:val="20"/>
                <w:szCs w:val="20"/>
                <w:highlight w:val="none"/>
                <w:lang w:val="en-US" w:eastAsia="zh-CN"/>
              </w:rPr>
            </w:pPr>
            <w:r>
              <w:rPr>
                <w:rFonts w:hint="eastAsia" w:ascii="仿宋" w:hAnsi="仿宋" w:eastAsia="仿宋" w:cs="仿宋"/>
                <w:b/>
                <w:bCs/>
                <w:color w:val="auto"/>
                <w:sz w:val="20"/>
                <w:szCs w:val="20"/>
                <w:highlight w:val="none"/>
                <w:lang w:val="en-US" w:eastAsia="zh-CN"/>
              </w:rPr>
              <w:t>2、</w:t>
            </w:r>
            <w:r>
              <w:rPr>
                <w:rFonts w:hint="eastAsia" w:ascii="仿宋" w:hAnsi="仿宋" w:eastAsia="仿宋" w:cs="仿宋"/>
                <w:b/>
                <w:bCs/>
                <w:color w:val="auto"/>
                <w:sz w:val="20"/>
                <w:szCs w:val="20"/>
                <w:highlight w:val="none"/>
                <w:lang w:eastAsia="zh-CN"/>
              </w:rPr>
              <w:t>本次综合单价</w:t>
            </w:r>
            <w:r>
              <w:rPr>
                <w:rFonts w:hint="eastAsia" w:ascii="仿宋" w:hAnsi="仿宋" w:eastAsia="仿宋" w:cs="仿宋"/>
                <w:b/>
                <w:bCs/>
                <w:color w:val="auto"/>
                <w:sz w:val="20"/>
                <w:szCs w:val="20"/>
                <w:highlight w:val="none"/>
                <w:lang w:val="en-US" w:eastAsia="zh-CN"/>
              </w:rPr>
              <w:t>=</w:t>
            </w:r>
            <w:r>
              <w:rPr>
                <w:rFonts w:hint="eastAsia" w:ascii="仿宋" w:hAnsi="仿宋" w:eastAsia="仿宋" w:cs="仿宋"/>
                <w:b/>
                <w:bCs/>
                <w:color w:val="auto"/>
                <w:sz w:val="20"/>
                <w:szCs w:val="20"/>
                <w:highlight w:val="none"/>
              </w:rPr>
              <w:t>8小时以内</w:t>
            </w:r>
            <w:r>
              <w:rPr>
                <w:rFonts w:hint="eastAsia" w:ascii="仿宋" w:hAnsi="仿宋" w:eastAsia="仿宋" w:cs="仿宋"/>
                <w:b/>
                <w:bCs/>
                <w:color w:val="auto"/>
                <w:sz w:val="20"/>
                <w:szCs w:val="20"/>
                <w:highlight w:val="none"/>
                <w:lang w:val="en-US" w:eastAsia="zh-CN"/>
              </w:rPr>
              <w:t>所有车型</w:t>
            </w:r>
            <w:r>
              <w:rPr>
                <w:rFonts w:hint="eastAsia" w:ascii="仿宋" w:hAnsi="仿宋" w:eastAsia="仿宋" w:cs="仿宋"/>
                <w:b/>
                <w:bCs/>
                <w:color w:val="auto"/>
                <w:sz w:val="20"/>
                <w:szCs w:val="20"/>
                <w:highlight w:val="none"/>
                <w:lang w:eastAsia="zh-CN"/>
              </w:rPr>
              <w:t>报价之和</w:t>
            </w:r>
            <w:r>
              <w:rPr>
                <w:rFonts w:hint="eastAsia" w:ascii="仿宋" w:hAnsi="仿宋" w:eastAsia="仿宋" w:cs="仿宋"/>
                <w:b/>
                <w:bCs/>
                <w:color w:val="auto"/>
                <w:sz w:val="20"/>
                <w:szCs w:val="20"/>
                <w:highlight w:val="none"/>
                <w:lang w:val="en-US" w:eastAsia="zh-CN"/>
              </w:rPr>
              <w:t>+</w:t>
            </w:r>
            <w:r>
              <w:rPr>
                <w:rFonts w:hint="eastAsia" w:ascii="仿宋" w:hAnsi="仿宋" w:eastAsia="仿宋" w:cs="仿宋"/>
                <w:b/>
                <w:bCs/>
                <w:color w:val="auto"/>
                <w:sz w:val="20"/>
                <w:szCs w:val="20"/>
                <w:highlight w:val="none"/>
              </w:rPr>
              <w:t>4小时以内</w:t>
            </w:r>
            <w:r>
              <w:rPr>
                <w:rFonts w:hint="eastAsia" w:ascii="仿宋" w:hAnsi="仿宋" w:eastAsia="仿宋" w:cs="仿宋"/>
                <w:b/>
                <w:bCs/>
                <w:color w:val="auto"/>
                <w:sz w:val="20"/>
                <w:szCs w:val="20"/>
                <w:highlight w:val="none"/>
                <w:lang w:val="en-US" w:eastAsia="zh-CN"/>
              </w:rPr>
              <w:t>所有车型</w:t>
            </w:r>
            <w:r>
              <w:rPr>
                <w:rFonts w:hint="eastAsia" w:ascii="仿宋" w:hAnsi="仿宋" w:eastAsia="仿宋" w:cs="仿宋"/>
                <w:b/>
                <w:bCs/>
                <w:color w:val="auto"/>
                <w:sz w:val="20"/>
                <w:szCs w:val="20"/>
                <w:highlight w:val="none"/>
                <w:lang w:eastAsia="zh-CN"/>
              </w:rPr>
              <w:t>报价之和</w:t>
            </w:r>
            <w:r>
              <w:rPr>
                <w:rFonts w:hint="eastAsia" w:ascii="仿宋" w:hAnsi="仿宋" w:eastAsia="仿宋" w:cs="仿宋"/>
                <w:b/>
                <w:bCs/>
                <w:color w:val="auto"/>
                <w:sz w:val="20"/>
                <w:szCs w:val="20"/>
                <w:highlight w:val="none"/>
                <w:lang w:val="en-US" w:eastAsia="zh-CN"/>
              </w:rPr>
              <w:t>+每超1h所有车型</w:t>
            </w:r>
            <w:r>
              <w:rPr>
                <w:rFonts w:hint="eastAsia" w:ascii="仿宋" w:hAnsi="仿宋" w:eastAsia="仿宋" w:cs="仿宋"/>
                <w:b/>
                <w:bCs/>
                <w:color w:val="auto"/>
                <w:sz w:val="20"/>
                <w:szCs w:val="20"/>
                <w:highlight w:val="none"/>
                <w:lang w:eastAsia="zh-CN"/>
              </w:rPr>
              <w:t>报价之和。</w:t>
            </w:r>
          </w:p>
        </w:tc>
      </w:tr>
    </w:tbl>
    <w:p w14:paraId="10F64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租金单价具体标准详见双方约定的上述表格，以实际发生为数量进行具体结算。合同单价一次性包死，不受市场价格变化等因素影响</w:t>
      </w:r>
    </w:p>
    <w:p w14:paraId="79883C7F">
      <w:pPr>
        <w:spacing w:line="360" w:lineRule="auto"/>
        <w:rPr>
          <w:rFonts w:hint="eastAsia" w:ascii="仿宋" w:hAnsi="仿宋" w:eastAsia="仿宋" w:cs="仿宋"/>
          <w:highlight w:val="none"/>
        </w:rPr>
      </w:pPr>
    </w:p>
    <w:p w14:paraId="748359D3">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第五条　违约责任</w:t>
      </w:r>
    </w:p>
    <w:p w14:paraId="4914FAB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1、乙方若没有按时保质保量完成所有接送服务内容，则</w:t>
      </w:r>
    </w:p>
    <w:p w14:paraId="06AA531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1）每出现有效投诉（投诉认定为乙方全责）1次，扣除已结算总金额的1%</w:t>
      </w:r>
    </w:p>
    <w:p w14:paraId="595B02E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2）不能按照甲方派车要求出车，每发生一例，扣除已结算总金额的1%</w:t>
      </w:r>
    </w:p>
    <w:p w14:paraId="39DCFCC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3）由于服务质量、服务态度或其他原因给医院造成负面影响则酌情扣除已结算总金额的1—5%</w:t>
      </w:r>
    </w:p>
    <w:p w14:paraId="787370E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出现三次以上不能按照甲方要求的时间按时出车者，甲方可单方面解除本合同，合同自书面解除通知送达乙方之日起解除，此外，乙方还应按照已付金额的20%向甲方支付违约金，违约金不足以赔偿甲方损失的，由乙方另行承担。</w:t>
      </w:r>
    </w:p>
    <w:p w14:paraId="0ADB8C1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2、合同规定时间内，乙方未能按计划派车，或未按合同约定时间到达甲方指定地点的，须承担给甲方造成的全部经济损失；</w:t>
      </w:r>
    </w:p>
    <w:p w14:paraId="16C04567">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3、乙方车辆中途甩团或中途发生故障3小时内无法修复，造成行程无法执行，乙方应及时采取补救措施，并赔偿甲方因此所造成的实际经济损失；</w:t>
      </w:r>
    </w:p>
    <w:p w14:paraId="1B98361F">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4、因乙方车辆或驾驶员原因造成交通事故或其他安全事故，导致甲方人员人身伤害或财产损失，应按现行法律法规由乙方承担全部赔付责任，甲方应协助乙方处理相关事宜；</w:t>
      </w:r>
    </w:p>
    <w:p w14:paraId="23E08DF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5、因第三方原因造成交通事故或其他安全事故，致双方人员人身伤害或财产损失的，甲乙双方应积极采取救治措施，依事故责任认定由责任人承担赔偿责任，乙方应先行垫付全部赔偿费用及由此给甲方及甲方人员造成的全部损失，乙方垫付后向肇事者追索赔偿；</w:t>
      </w:r>
    </w:p>
    <w:p w14:paraId="4DED75B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6、由于甲方原因造成行程延误、超出约定租车期限的，甲方应当支付超时部分的租车费用，费用标准按本合同执行；</w:t>
      </w:r>
    </w:p>
    <w:p w14:paraId="7C6733F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7、客人中途离开车辆时，甲方工作人员应当告知其随声携带贵重物品。因驾驶员过错造成车内物品丢失损坏的，乙方应当承担赔偿责任。</w:t>
      </w:r>
    </w:p>
    <w:p w14:paraId="6BCEC831">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8、合同一方违约的，双方应积极采取适当措施阻止损失扩大，否则不得就扩大部分的损失要求赔偿；违约方应当承担对方为阻止损失扩大而支付的合理费用。</w:t>
      </w:r>
    </w:p>
    <w:p w14:paraId="70221CD4">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9、政府政策重大变化、不可抗力以及其他无法归究于承、租双方的原因造成的损失，依照有关法规和公平原则双方协商解决。</w:t>
      </w:r>
    </w:p>
    <w:p w14:paraId="5C0B64CD">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10、乙方未按合同约定履行合同义务或履行不符合合同要求的，甲方有权单方面解除本合同，合同自书面解除通知送达乙方之日起解除，此外，乙方还应按照已付金额的20%向甲方支付违约金，违约金不足以赔偿甲方损失的，由乙方另行承担。</w:t>
      </w:r>
    </w:p>
    <w:p w14:paraId="75E6D2C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4AE15719">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第六条　免责和减轻责任</w:t>
      </w:r>
    </w:p>
    <w:p w14:paraId="79498F8C">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1、如遇不可抗力因素而造成行程无法进行、或出车，甲乙双方经协商解决，并应提前通知对方；</w:t>
      </w:r>
    </w:p>
    <w:p w14:paraId="5C0A355E">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2、如遇塌方、泥石流、堵车、非本车交通事故等原因造成行程不能完成或行程延误，双方应协商解决后续事宜。</w:t>
      </w:r>
    </w:p>
    <w:p w14:paraId="2A04CBD4">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488D13B6">
      <w:pPr>
        <w:pStyle w:val="1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945" w:leftChars="0" w:hanging="945" w:firstLineChars="0"/>
        <w:rPr>
          <w:rFonts w:hint="eastAsia" w:ascii="仿宋" w:hAnsi="仿宋" w:eastAsia="仿宋" w:cs="仿宋"/>
          <w:b/>
          <w:bCs/>
          <w:kern w:val="2"/>
          <w:sz w:val="24"/>
          <w:szCs w:val="28"/>
          <w:highlight w:val="none"/>
          <w:lang w:val="en-US" w:eastAsia="zh-CN" w:bidi="ar-SA"/>
        </w:rPr>
      </w:pPr>
      <w:r>
        <w:rPr>
          <w:rFonts w:hint="eastAsia" w:ascii="仿宋" w:hAnsi="仿宋" w:eastAsia="仿宋" w:cs="仿宋"/>
          <w:b/>
          <w:bCs/>
          <w:kern w:val="2"/>
          <w:sz w:val="24"/>
          <w:szCs w:val="28"/>
          <w:highlight w:val="none"/>
          <w:lang w:val="en-US" w:eastAsia="zh-CN" w:bidi="ar-SA"/>
        </w:rPr>
        <w:t>第七条　其他</w:t>
      </w:r>
    </w:p>
    <w:p w14:paraId="2818369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1、以上合同未尽事宜，甲、乙双方可经协商签订补充条款，补充条款与本合同具有同等法律效力。</w:t>
      </w:r>
    </w:p>
    <w:p w14:paraId="683B12F2">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2、甲方如要求延长租期，须在合同到期前提出续租申请，乙方有权决定是否续租。</w:t>
      </w:r>
    </w:p>
    <w:p w14:paraId="4821944E">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3、本合同项下发生的争议，双方可协商或向西安市汽车租赁行业组织、各级消费者协会等部门申请调解解决；也可向甲方住所地的人民法院提起诉讼。</w:t>
      </w:r>
    </w:p>
    <w:p w14:paraId="390B0138">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4、本合同经甲、乙双方签字盖章后方能生效。</w:t>
      </w:r>
    </w:p>
    <w:p w14:paraId="01C84ED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5、本合同一式二份，甲、乙双方各执一份。</w:t>
      </w:r>
    </w:p>
    <w:p w14:paraId="0AE528F0">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6、磋商文件、响应（投标）文件、澄清函（表）均为本合同不可分割的一部分，与本合同具有同等法律效力。</w:t>
      </w:r>
    </w:p>
    <w:p w14:paraId="4E52575A">
      <w:pPr>
        <w:spacing w:line="360" w:lineRule="auto"/>
        <w:rPr>
          <w:rFonts w:hint="eastAsia" w:ascii="仿宋" w:hAnsi="仿宋" w:eastAsia="仿宋" w:cs="仿宋"/>
          <w:highlight w:val="none"/>
        </w:rPr>
      </w:pPr>
    </w:p>
    <w:p w14:paraId="35CA42F7">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（以下无正文）</w:t>
      </w:r>
    </w:p>
    <w:p w14:paraId="7635FF1C">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49C28069">
      <w:pPr>
        <w:keepNext w:val="0"/>
        <w:keepLines w:val="0"/>
        <w:pageBreakBefore w:val="0"/>
        <w:widowControl w:val="0"/>
        <w:kinsoku/>
        <w:wordWrap/>
        <w:overflowPunct/>
        <w:topLinePunct w:val="0"/>
        <w:autoSpaceDE/>
        <w:autoSpaceDN/>
        <w:bidi w:val="0"/>
        <w:adjustRightInd/>
        <w:snapToGrid w:val="0"/>
        <w:spacing w:line="360" w:lineRule="auto"/>
        <w:rPr>
          <w:rFonts w:hint="eastAsia" w:ascii="仿宋" w:hAnsi="仿宋" w:eastAsia="仿宋" w:cs="仿宋"/>
          <w:sz w:val="24"/>
          <w:szCs w:val="28"/>
          <w:highlight w:val="none"/>
        </w:rPr>
      </w:pPr>
    </w:p>
    <w:p w14:paraId="271BBB41">
      <w:pPr>
        <w:rPr>
          <w:rFonts w:hint="eastAsia" w:ascii="仿宋" w:hAnsi="仿宋" w:eastAsia="仿宋" w:cs="仿宋"/>
          <w:sz w:val="24"/>
          <w:szCs w:val="28"/>
          <w:highlight w:val="none"/>
        </w:rPr>
      </w:pPr>
      <w:r>
        <w:rPr>
          <w:rFonts w:hint="eastAsia" w:ascii="仿宋" w:hAnsi="仿宋" w:eastAsia="仿宋" w:cs="仿宋"/>
          <w:sz w:val="24"/>
          <w:szCs w:val="28"/>
          <w:highlight w:val="none"/>
        </w:rPr>
        <w:br w:type="page"/>
      </w:r>
    </w:p>
    <w:p w14:paraId="032DD715">
      <w:pPr>
        <w:keepNext w:val="0"/>
        <w:keepLines w:val="0"/>
        <w:pageBreakBefore w:val="0"/>
        <w:widowControl w:val="0"/>
        <w:kinsoku/>
        <w:wordWrap/>
        <w:overflowPunct/>
        <w:topLinePunct w:val="0"/>
        <w:autoSpaceDE/>
        <w:autoSpaceDN/>
        <w:bidi w:val="0"/>
        <w:adjustRightInd/>
        <w:snapToGrid w:val="0"/>
        <w:spacing w:line="48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甲方：</w:t>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lang w:val="en-US" w:eastAsia="zh-CN"/>
        </w:rPr>
        <w:t xml:space="preserve">          </w:t>
      </w:r>
      <w:r>
        <w:rPr>
          <w:rFonts w:hint="eastAsia" w:ascii="仿宋" w:hAnsi="仿宋" w:eastAsia="仿宋" w:cs="仿宋"/>
          <w:sz w:val="24"/>
          <w:szCs w:val="28"/>
          <w:highlight w:val="none"/>
        </w:rPr>
        <w:t>乙方：</w:t>
      </w:r>
    </w:p>
    <w:p w14:paraId="02A2EAEA">
      <w:pPr>
        <w:keepNext w:val="0"/>
        <w:keepLines w:val="0"/>
        <w:pageBreakBefore w:val="0"/>
        <w:widowControl w:val="0"/>
        <w:kinsoku/>
        <w:wordWrap/>
        <w:overflowPunct/>
        <w:topLinePunct w:val="0"/>
        <w:autoSpaceDE/>
        <w:autoSpaceDN/>
        <w:bidi w:val="0"/>
        <w:adjustRightInd/>
        <w:snapToGrid w:val="0"/>
        <w:spacing w:line="480" w:lineRule="auto"/>
        <w:rPr>
          <w:rFonts w:hint="eastAsia" w:ascii="仿宋" w:hAnsi="仿宋" w:eastAsia="仿宋" w:cs="仿宋"/>
          <w:sz w:val="24"/>
          <w:szCs w:val="28"/>
          <w:highlight w:val="none"/>
        </w:rPr>
      </w:pPr>
    </w:p>
    <w:p w14:paraId="256A70E3">
      <w:pPr>
        <w:keepNext w:val="0"/>
        <w:keepLines w:val="0"/>
        <w:pageBreakBefore w:val="0"/>
        <w:widowControl w:val="0"/>
        <w:kinsoku/>
        <w:wordWrap/>
        <w:overflowPunct/>
        <w:topLinePunct w:val="0"/>
        <w:autoSpaceDE/>
        <w:autoSpaceDN/>
        <w:bidi w:val="0"/>
        <w:adjustRightInd/>
        <w:snapToGrid w:val="0"/>
        <w:spacing w:line="48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（盖章）</w:t>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lang w:val="en-US" w:eastAsia="zh-CN"/>
        </w:rPr>
        <w:t xml:space="preserve">      </w:t>
      </w:r>
      <w:r>
        <w:rPr>
          <w:rFonts w:hint="eastAsia" w:ascii="仿宋" w:hAnsi="仿宋" w:eastAsia="仿宋" w:cs="仿宋"/>
          <w:sz w:val="24"/>
          <w:szCs w:val="28"/>
          <w:highlight w:val="none"/>
        </w:rPr>
        <w:t>（盖章）</w:t>
      </w:r>
    </w:p>
    <w:p w14:paraId="4AF0B66E">
      <w:pPr>
        <w:keepNext w:val="0"/>
        <w:keepLines w:val="0"/>
        <w:pageBreakBefore w:val="0"/>
        <w:widowControl w:val="0"/>
        <w:kinsoku/>
        <w:wordWrap/>
        <w:overflowPunct/>
        <w:topLinePunct w:val="0"/>
        <w:autoSpaceDE/>
        <w:autoSpaceDN/>
        <w:bidi w:val="0"/>
        <w:adjustRightInd/>
        <w:snapToGrid w:val="0"/>
        <w:spacing w:line="480" w:lineRule="auto"/>
        <w:rPr>
          <w:rFonts w:hint="eastAsia" w:ascii="仿宋" w:hAnsi="仿宋" w:eastAsia="仿宋" w:cs="仿宋"/>
          <w:sz w:val="24"/>
          <w:szCs w:val="28"/>
          <w:highlight w:val="none"/>
        </w:rPr>
      </w:pPr>
    </w:p>
    <w:p w14:paraId="179069F0">
      <w:pPr>
        <w:keepNext w:val="0"/>
        <w:keepLines w:val="0"/>
        <w:pageBreakBefore w:val="0"/>
        <w:widowControl w:val="0"/>
        <w:kinsoku/>
        <w:wordWrap/>
        <w:overflowPunct/>
        <w:topLinePunct w:val="0"/>
        <w:autoSpaceDE/>
        <w:autoSpaceDN/>
        <w:bidi w:val="0"/>
        <w:adjustRightInd/>
        <w:snapToGrid w:val="0"/>
        <w:spacing w:line="480" w:lineRule="auto"/>
        <w:rPr>
          <w:rFonts w:hint="eastAsia" w:ascii="仿宋" w:hAnsi="仿宋" w:eastAsia="仿宋" w:cs="仿宋"/>
          <w:sz w:val="24"/>
          <w:szCs w:val="28"/>
          <w:highlight w:val="none"/>
        </w:rPr>
      </w:pPr>
      <w:r>
        <w:rPr>
          <w:rFonts w:hint="eastAsia" w:ascii="仿宋" w:hAnsi="仿宋" w:eastAsia="仿宋" w:cs="仿宋"/>
          <w:sz w:val="24"/>
          <w:szCs w:val="28"/>
          <w:highlight w:val="none"/>
        </w:rPr>
        <w:t>甲方代表(法人)：</w:t>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lang w:val="en-US" w:eastAsia="zh-CN"/>
        </w:rPr>
        <w:t xml:space="preserve">    </w:t>
      </w:r>
      <w:r>
        <w:rPr>
          <w:rFonts w:hint="eastAsia" w:ascii="仿宋" w:hAnsi="仿宋" w:eastAsia="仿宋" w:cs="仿宋"/>
          <w:sz w:val="24"/>
          <w:szCs w:val="28"/>
          <w:highlight w:val="none"/>
        </w:rPr>
        <w:t>乙方代表(法人)：</w:t>
      </w: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日期：</w:t>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rPr>
        <w:tab/>
      </w:r>
      <w:r>
        <w:rPr>
          <w:rFonts w:hint="eastAsia" w:ascii="仿宋" w:hAnsi="仿宋" w:eastAsia="仿宋" w:cs="仿宋"/>
          <w:sz w:val="24"/>
          <w:szCs w:val="28"/>
          <w:highlight w:val="none"/>
          <w:lang w:val="en-US" w:eastAsia="zh-CN"/>
        </w:rPr>
        <w:t xml:space="preserve">           </w:t>
      </w:r>
      <w:r>
        <w:rPr>
          <w:rFonts w:hint="eastAsia" w:ascii="仿宋" w:hAnsi="仿宋" w:eastAsia="仿宋" w:cs="仿宋"/>
          <w:sz w:val="24"/>
          <w:szCs w:val="28"/>
          <w:highlight w:val="none"/>
        </w:rPr>
        <w:t>日期：</w:t>
      </w:r>
    </w:p>
    <w:p w14:paraId="07351834">
      <w:pPr>
        <w:pStyle w:val="14"/>
        <w:rPr>
          <w:rFonts w:hint="eastAsia" w:ascii="仿宋" w:hAnsi="仿宋" w:eastAsia="仿宋" w:cs="仿宋"/>
          <w:highlight w:val="none"/>
          <w:lang w:val="en-US" w:eastAsia="zh-Hans"/>
        </w:rPr>
      </w:pPr>
    </w:p>
    <w:p w14:paraId="40169088">
      <w:pPr>
        <w:rPr>
          <w:rFonts w:hint="eastAsia"/>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1D59D">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F09C67">
                          <w:pPr>
                            <w:pStyle w:val="8"/>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99eZItAgAAVg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99eZItAgAAVgQAAA4AAAAAAAAAAQAgAAAAHwEAAGRycy9lMm9Eb2MueG1sUEsFBgAAAAAG&#10;AAYAWQEAAL4FAAAAAA==&#10;">
              <v:fill on="f" focussize="0,0"/>
              <v:stroke on="f" weight="0.5pt"/>
              <v:imagedata o:title=""/>
              <o:lock v:ext="edit" aspectratio="f"/>
              <v:textbox inset="0mm,0mm,0mm,0mm" style="mso-fit-shape-to-text:t;">
                <w:txbxContent>
                  <w:p w14:paraId="11F09C67">
                    <w:pPr>
                      <w:pStyle w:val="8"/>
                    </w:pPr>
                    <w:r>
                      <w:t xml:space="preserve">第 </w:t>
                    </w:r>
                    <w:r>
                      <w:fldChar w:fldCharType="begin"/>
                    </w:r>
                    <w:r>
                      <w:instrText xml:space="preserve"> PAGE  \* MERGEFORMAT </w:instrText>
                    </w:r>
                    <w:r>
                      <w:fldChar w:fldCharType="separate"/>
                    </w:r>
                    <w:r>
                      <w:t>54</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9C6561"/>
    <w:rsid w:val="16D26B7A"/>
    <w:rsid w:val="1ADD6F7A"/>
    <w:rsid w:val="1CA619C0"/>
    <w:rsid w:val="1F311295"/>
    <w:rsid w:val="1FF17CBA"/>
    <w:rsid w:val="26E17572"/>
    <w:rsid w:val="29B334E6"/>
    <w:rsid w:val="31066CA8"/>
    <w:rsid w:val="31273D62"/>
    <w:rsid w:val="389C5B17"/>
    <w:rsid w:val="38F525A0"/>
    <w:rsid w:val="4823268F"/>
    <w:rsid w:val="4C7354D5"/>
    <w:rsid w:val="4E9C6561"/>
    <w:rsid w:val="57B073B0"/>
    <w:rsid w:val="6E27182F"/>
    <w:rsid w:val="722500B2"/>
    <w:rsid w:val="760555E1"/>
    <w:rsid w:val="780A1528"/>
    <w:rsid w:val="7B307A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link w:val="13"/>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toa heading"/>
    <w:basedOn w:val="1"/>
    <w:qFormat/>
    <w:uiPriority w:val="0"/>
    <w:rPr>
      <w:rFonts w:ascii="Arial" w:hAnsi="Arial" w:eastAsia="宋体" w:cs="Times New Roman"/>
      <w:sz w:val="24"/>
    </w:rPr>
  </w:style>
  <w:style w:type="paragraph" w:styleId="6">
    <w:name w:val="Body Text"/>
    <w:basedOn w:val="1"/>
    <w:semiHidden/>
    <w:unhideWhenUsed/>
    <w:qFormat/>
    <w:uiPriority w:val="99"/>
    <w:pPr>
      <w:spacing w:after="120"/>
    </w:pPr>
  </w:style>
  <w:style w:type="paragraph" w:styleId="7">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Title"/>
    <w:basedOn w:val="1"/>
    <w:qFormat/>
    <w:uiPriority w:val="10"/>
    <w:pPr>
      <w:contextualSpacing/>
    </w:pPr>
    <w:rPr>
      <w:rFonts w:asciiTheme="majorHAnsi" w:hAnsiTheme="majorHAnsi" w:eastAsiaTheme="majorEastAsia" w:cstheme="majorBidi"/>
      <w:spacing w:val="-10"/>
      <w:kern w:val="28"/>
      <w:sz w:val="56"/>
      <w:szCs w:val="56"/>
    </w:rPr>
  </w:style>
  <w:style w:type="paragraph" w:styleId="10">
    <w:name w:val="Body Text First Indent"/>
    <w:basedOn w:val="6"/>
    <w:unhideWhenUsed/>
    <w:qFormat/>
    <w:uiPriority w:val="99"/>
    <w:pPr>
      <w:ind w:firstLine="420" w:firstLineChars="100"/>
    </w:pPr>
    <w:rPr>
      <w:szCs w:val="24"/>
    </w:rPr>
  </w:style>
  <w:style w:type="character" w:customStyle="1" w:styleId="13">
    <w:name w:val="标题 2 Char"/>
    <w:link w:val="3"/>
    <w:qFormat/>
    <w:uiPriority w:val="0"/>
    <w:rPr>
      <w:rFonts w:ascii="Arial" w:hAnsi="Arial" w:eastAsia="宋体" w:cs="Times New Roman"/>
      <w:b/>
      <w:sz w:val="32"/>
      <w:lang w:val="zh-CN" w:bidi="zh-CN"/>
    </w:rPr>
  </w:style>
  <w:style w:type="paragraph" w:customStyle="1" w:styleId="14">
    <w:name w:val="null3"/>
    <w:qFormat/>
    <w:uiPriority w:val="0"/>
    <w:rPr>
      <w:rFonts w:hint="eastAsia" w:asciiTheme="minorHAnsi" w:hAnsiTheme="minorHAnsi" w:eastAsiaTheme="minorEastAsia" w:cstheme="minorBidi"/>
      <w:lang w:val="en-US" w:eastAsia="zh-Hans"/>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2894</Words>
  <Characters>2955</Characters>
  <Lines>0</Lines>
  <Paragraphs>0</Paragraphs>
  <TotalTime>0</TotalTime>
  <ScaleCrop>false</ScaleCrop>
  <LinksUpToDate>false</LinksUpToDate>
  <CharactersWithSpaces>3038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2025-07-03T02:19:00Z</dcterms:created>
  <dc:creator>陕西笃信招标有限公司</dc:creator>
  <cp:lastModifiedBy>陕西笃信招标有限公司</cp:lastModifiedBy>
  <dcterms:modified xsi:type="dcterms:W3CDTF">2025-07-03T03:41:07Z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820160970F6E45309C2CB2BB794EA912_13</vt:lpwstr>
  </property>
  <property fmtid="{D5CDD505-2E9C-101B-9397-08002B2CF9AE}" pid="4" name="KSOTemplateDocerSaveRecord">
    <vt:lpwstr>eyJoZGlkIjoiNzg2YzQ2Nzk4M2IwOWVlMWU4NjljZTZlNTRmMjFkNDkiLCJ1c2VySWQiOiI5MTQ3Njg1NjkifQ==</vt:lpwstr>
  </property>
</Properties>
</file>