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885F525">
      <w:pPr>
        <w:adjustRightInd w:val="0"/>
        <w:snapToGrid w:val="0"/>
        <w:spacing w:line="360" w:lineRule="auto"/>
        <w:jc w:val="center"/>
        <w:rPr>
          <w:rFonts w:hint="eastAsia" w:hAnsi="宋体" w:eastAsia="宋体"/>
          <w:b/>
          <w:lang w:eastAsia="zh-CN"/>
        </w:rPr>
      </w:pPr>
      <w:bookmarkStart w:id="1" w:name="_GoBack"/>
      <w:bookmarkEnd w:id="1"/>
      <w:r>
        <w:rPr>
          <w:rFonts w:hint="eastAsia" w:hAnsi="宋体"/>
          <w:b/>
          <w:lang w:eastAsia="zh-CN"/>
        </w:rPr>
        <w:t>（</w:t>
      </w:r>
      <w:r>
        <w:rPr>
          <w:rFonts w:hint="eastAsia" w:hAnsi="宋体"/>
          <w:b/>
          <w:lang w:val="en-US" w:eastAsia="zh-CN"/>
        </w:rPr>
        <w:t>最终以签订合同为准</w:t>
      </w:r>
      <w:r>
        <w:rPr>
          <w:rFonts w:hint="eastAsia" w:hAnsi="宋体"/>
          <w:b/>
          <w:lang w:eastAsia="zh-CN"/>
        </w:rPr>
        <w:t>）</w:t>
      </w:r>
    </w:p>
    <w:p w14:paraId="446D68C2">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7D4CD266">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29C2AD5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rPr>
        <w:t>再生水农业灌溉影响评价分析研究项目(项目编号：SXHC202</w:t>
      </w:r>
      <w:r>
        <w:rPr>
          <w:rFonts w:hint="eastAsia" w:ascii="仿宋_GB2312" w:hAnsi="仿宋_GB2312" w:eastAsia="仿宋_GB2312" w:cs="仿宋_GB2312"/>
          <w:bCs/>
          <w:sz w:val="28"/>
          <w:szCs w:val="28"/>
          <w:u w:val="single"/>
          <w:lang w:val="en-US" w:eastAsia="zh-CN"/>
        </w:rPr>
        <w:t>5</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u w:val="single"/>
          <w:lang w:val="en-US" w:eastAsia="zh-CN"/>
        </w:rPr>
        <w:t>151</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540829F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741265E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一、合同价款</w:t>
      </w:r>
    </w:p>
    <w:p w14:paraId="5677C84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2BDB03B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w:t>
      </w:r>
      <w:r>
        <w:rPr>
          <w:rFonts w:hint="eastAsia" w:ascii="仿宋_GB2312" w:hAnsi="仿宋_GB2312" w:eastAsia="仿宋_GB2312" w:cs="仿宋_GB2312"/>
          <w:bCs/>
          <w:sz w:val="28"/>
          <w:szCs w:val="28"/>
          <w:highlight w:val="none"/>
          <w:lang w:val="en-US" w:eastAsia="zh-CN"/>
        </w:rPr>
        <w:t>包括</w:t>
      </w:r>
      <w:r>
        <w:rPr>
          <w:rFonts w:hint="eastAsia" w:ascii="仿宋_GB2312" w:hAnsi="仿宋_GB2312" w:eastAsia="仿宋_GB2312" w:cs="仿宋_GB2312"/>
          <w:bCs/>
          <w:sz w:val="28"/>
          <w:szCs w:val="28"/>
          <w:highlight w:val="none"/>
        </w:rPr>
        <w:t>但不限于</w:t>
      </w:r>
      <w:r>
        <w:rPr>
          <w:rFonts w:hint="eastAsia" w:ascii="仿宋_GB2312" w:hAnsi="仿宋_GB2312" w:eastAsia="仿宋_GB2312" w:cs="仿宋_GB2312"/>
          <w:b w:val="0"/>
          <w:bCs w:val="0"/>
          <w:sz w:val="28"/>
          <w:szCs w:val="28"/>
          <w:highlight w:val="none"/>
          <w:lang w:val="en-US" w:eastAsia="zh-CN"/>
        </w:rPr>
        <w:t>人工费</w:t>
      </w:r>
      <w:r>
        <w:rPr>
          <w:rFonts w:hint="eastAsia" w:ascii="仿宋_GB2312" w:hAnsi="仿宋_GB2312" w:eastAsia="仿宋_GB2312" w:cs="仿宋_GB2312"/>
          <w:b w:val="0"/>
          <w:bCs w:val="0"/>
          <w:sz w:val="28"/>
          <w:szCs w:val="28"/>
          <w:highlight w:val="none"/>
        </w:rPr>
        <w:t>、</w:t>
      </w:r>
      <w:r>
        <w:rPr>
          <w:rFonts w:hint="eastAsia" w:ascii="仿宋_GB2312" w:hAnsi="仿宋_GB2312" w:eastAsia="仿宋_GB2312" w:cs="仿宋_GB2312"/>
          <w:b w:val="0"/>
          <w:bCs w:val="0"/>
          <w:sz w:val="28"/>
          <w:szCs w:val="28"/>
          <w:highlight w:val="none"/>
          <w:lang w:val="en-US" w:eastAsia="zh-CN"/>
        </w:rPr>
        <w:t>设备费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交通</w:t>
      </w:r>
      <w:r>
        <w:rPr>
          <w:rFonts w:hint="eastAsia" w:ascii="仿宋_GB2312" w:hAnsi="仿宋_GB2312" w:eastAsia="仿宋_GB2312" w:cs="仿宋_GB2312"/>
          <w:b w:val="0"/>
          <w:bCs w:val="0"/>
          <w:sz w:val="28"/>
          <w:szCs w:val="28"/>
          <w:highlight w:val="none"/>
          <w:lang w:eastAsia="zh-CN"/>
        </w:rPr>
        <w:t>费、</w:t>
      </w:r>
      <w:r>
        <w:rPr>
          <w:rFonts w:hint="eastAsia" w:ascii="仿宋_GB2312" w:hAnsi="仿宋_GB2312" w:eastAsia="仿宋_GB2312" w:cs="仿宋_GB2312"/>
          <w:b w:val="0"/>
          <w:bCs w:val="0"/>
          <w:sz w:val="28"/>
          <w:szCs w:val="28"/>
          <w:highlight w:val="none"/>
          <w:lang w:val="en-US" w:eastAsia="zh-CN"/>
        </w:rPr>
        <w:t>住宿费</w:t>
      </w:r>
      <w:r>
        <w:rPr>
          <w:rFonts w:hint="eastAsia" w:ascii="仿宋_GB2312" w:hAnsi="仿宋_GB2312" w:eastAsia="仿宋_GB2312" w:cs="仿宋_GB2312"/>
          <w:bCs/>
          <w:sz w:val="28"/>
          <w:szCs w:val="28"/>
          <w:highlight w:val="none"/>
        </w:rPr>
        <w:t>、税金等一切相关费用，</w:t>
      </w:r>
      <w:r>
        <w:rPr>
          <w:rFonts w:hint="eastAsia" w:ascii="仿宋_GB2312" w:hAnsi="仿宋_GB2312" w:eastAsia="仿宋_GB2312" w:cs="仿宋_GB2312"/>
          <w:sz w:val="28"/>
          <w:szCs w:val="28"/>
          <w:highlight w:val="none"/>
        </w:rPr>
        <w:t>服务期内甲方不再增加任何费用</w:t>
      </w:r>
      <w:r>
        <w:rPr>
          <w:rFonts w:hint="eastAsia" w:ascii="仿宋_GB2312" w:hAnsi="仿宋_GB2312" w:eastAsia="仿宋_GB2312" w:cs="仿宋_GB2312"/>
          <w:color w:val="auto"/>
          <w:sz w:val="28"/>
          <w:szCs w:val="28"/>
          <w:highlight w:val="none"/>
          <w:lang w:val="en-US" w:eastAsia="zh-CN"/>
        </w:rPr>
        <w:t>。</w:t>
      </w:r>
    </w:p>
    <w:p w14:paraId="399AF5F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（三）合同总价一次性包死，不受市场价格变化因素的影响。</w:t>
      </w:r>
    </w:p>
    <w:p w14:paraId="2FEB7CE2">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二、款项结算</w:t>
      </w:r>
    </w:p>
    <w:p w14:paraId="42D4EA5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rPr>
        <w:t>（一）项款支</w:t>
      </w:r>
      <w:r>
        <w:rPr>
          <w:rFonts w:hint="eastAsia" w:ascii="仿宋_GB2312" w:hAnsi="仿宋_GB2312" w:eastAsia="仿宋_GB2312" w:cs="仿宋_GB2312"/>
          <w:sz w:val="28"/>
          <w:szCs w:val="28"/>
          <w:highlight w:val="none"/>
        </w:rPr>
        <w:t xml:space="preserve">付: </w:t>
      </w:r>
      <w:r>
        <w:rPr>
          <w:rFonts w:hint="eastAsia" w:ascii="仿宋_GB2312" w:hAnsi="仿宋_GB2312" w:eastAsia="仿宋_GB2312" w:cs="仿宋_GB2312"/>
          <w:sz w:val="28"/>
          <w:szCs w:val="28"/>
          <w:highlight w:val="none"/>
          <w:lang w:val="en-US" w:eastAsia="zh-CN"/>
        </w:rPr>
        <w:t>合同签订后，甲方向有关部门提出支付申请，向乙方支付合同总金额的85%作为首付款，即</w:t>
      </w:r>
      <w:r>
        <w:rPr>
          <w:rFonts w:hint="eastAsia" w:ascii="仿宋_GB2312" w:hAnsi="仿宋_GB2312" w:eastAsia="仿宋_GB2312" w:cs="仿宋_GB2312"/>
          <w:sz w:val="28"/>
          <w:szCs w:val="28"/>
          <w:highlight w:val="none"/>
          <w:u w:val="single"/>
          <w:lang w:val="en-US" w:eastAsia="zh-CN"/>
        </w:rPr>
        <w:t>¥     元,大写：人民币    元</w:t>
      </w:r>
      <w:r>
        <w:rPr>
          <w:rFonts w:hint="eastAsia" w:ascii="仿宋_GB2312" w:hAnsi="仿宋_GB2312" w:eastAsia="仿宋_GB2312" w:cs="仿宋_GB2312"/>
          <w:sz w:val="28"/>
          <w:szCs w:val="28"/>
          <w:highlight w:val="none"/>
          <w:lang w:val="en-US" w:eastAsia="zh-CN"/>
        </w:rPr>
        <w:t>,项目全部完成并提交成果报告及全部调查资料，待甲方组织验收合格后，甲方向乙方支付合同总金额15%，即</w:t>
      </w:r>
      <w:r>
        <w:rPr>
          <w:rFonts w:hint="eastAsia" w:ascii="仿宋_GB2312" w:hAnsi="仿宋_GB2312" w:eastAsia="仿宋_GB2312" w:cs="仿宋_GB2312"/>
          <w:sz w:val="28"/>
          <w:szCs w:val="28"/>
          <w:highlight w:val="none"/>
          <w:u w:val="single"/>
          <w:lang w:val="en-US" w:eastAsia="zh-CN"/>
        </w:rPr>
        <w:t xml:space="preserve">¥      元,大写：人民币    </w:t>
      </w:r>
      <w:r>
        <w:rPr>
          <w:rFonts w:hint="eastAsia" w:ascii="仿宋_GB2312" w:hAnsi="仿宋_GB2312" w:eastAsia="仿宋_GB2312" w:cs="仿宋_GB2312"/>
          <w:sz w:val="28"/>
          <w:szCs w:val="28"/>
          <w:highlight w:val="none"/>
          <w:lang w:val="en-US" w:eastAsia="zh-CN"/>
        </w:rPr>
        <w:t>元。</w:t>
      </w:r>
    </w:p>
    <w:p w14:paraId="15D6CDD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10B5904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w:t>
      </w:r>
      <w:r>
        <w:rPr>
          <w:rFonts w:hint="eastAsia" w:ascii="仿宋_GB2312" w:hAnsi="仿宋_GB2312" w:eastAsia="仿宋_GB2312" w:cs="仿宋_GB2312"/>
          <w:sz w:val="28"/>
          <w:szCs w:val="28"/>
          <w:highlight w:val="none"/>
          <w:lang w:val="en-US" w:eastAsia="zh-CN"/>
        </w:rPr>
        <w:t>根据支付方式开具</w:t>
      </w:r>
      <w:r>
        <w:rPr>
          <w:rFonts w:hint="eastAsia" w:ascii="仿宋_GB2312" w:hAnsi="仿宋_GB2312" w:eastAsia="仿宋_GB2312" w:cs="仿宋_GB2312"/>
          <w:sz w:val="28"/>
          <w:szCs w:val="28"/>
          <w:highlight w:val="none"/>
        </w:rPr>
        <w:t>发票给甲方。</w:t>
      </w:r>
    </w:p>
    <w:p w14:paraId="1C7BBB3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（四）验收依据：合同文本,</w:t>
      </w:r>
      <w:r>
        <w:rPr>
          <w:rFonts w:hint="eastAsia" w:ascii="仿宋_GB2312" w:hAnsi="仿宋_GB2312" w:eastAsia="仿宋_GB2312" w:cs="仿宋_GB2312"/>
          <w:bCs/>
          <w:sz w:val="28"/>
          <w:szCs w:val="28"/>
          <w:highlight w:val="none"/>
          <w:lang w:eastAsia="zh-CN"/>
        </w:rPr>
        <w:t>磋商</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lang w:eastAsia="zh-CN"/>
        </w:rPr>
        <w:t>磋商响应</w:t>
      </w:r>
      <w:r>
        <w:rPr>
          <w:rFonts w:hint="eastAsia" w:ascii="仿宋_GB2312" w:hAnsi="仿宋_GB2312" w:eastAsia="仿宋_GB2312" w:cs="仿宋_GB2312"/>
          <w:bCs/>
          <w:sz w:val="28"/>
          <w:szCs w:val="28"/>
          <w:highlight w:val="none"/>
        </w:rPr>
        <w:t>文件和其他与项目相关的资料；国家和行业制定的相应的标准和规范：验收清单（注明各成果资料的品名、数量）。</w:t>
      </w:r>
    </w:p>
    <w:p w14:paraId="6FCEE500">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三、服务要求</w:t>
      </w:r>
    </w:p>
    <w:p w14:paraId="5E78B692">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服务期</w:t>
      </w:r>
      <w:r>
        <w:rPr>
          <w:rFonts w:hint="eastAsia" w:ascii="仿宋_GB2312" w:hAnsi="仿宋_GB2312" w:eastAsia="仿宋_GB2312" w:cs="仿宋_GB2312"/>
          <w:bCs/>
          <w:color w:val="auto"/>
          <w:sz w:val="28"/>
          <w:szCs w:val="28"/>
          <w:highlight w:val="none"/>
        </w:rPr>
        <w:t>：合同签订后9个月内</w:t>
      </w:r>
      <w:r>
        <w:rPr>
          <w:rFonts w:hint="eastAsia" w:ascii="仿宋_GB2312" w:hAnsi="仿宋_GB2312" w:eastAsia="仿宋_GB2312" w:cs="仿宋_GB2312"/>
          <w:bCs/>
          <w:color w:val="auto"/>
          <w:kern w:val="0"/>
          <w:sz w:val="28"/>
          <w:szCs w:val="28"/>
          <w:highlight w:val="none"/>
        </w:rPr>
        <w:br w:type="textWrapping"/>
      </w:r>
      <w:r>
        <w:rPr>
          <w:rFonts w:hint="eastAsia" w:ascii="仿宋_GB2312" w:hAnsi="仿宋_GB2312" w:eastAsia="仿宋_GB2312" w:cs="仿宋_GB2312"/>
          <w:bCs/>
          <w:kern w:val="0"/>
          <w:sz w:val="28"/>
          <w:szCs w:val="28"/>
          <w:highlight w:val="none"/>
        </w:rPr>
        <w:t xml:space="preserve">   </w:t>
      </w:r>
      <w:r>
        <w:rPr>
          <w:rFonts w:hint="eastAsia" w:ascii="仿宋_GB2312" w:hAnsi="仿宋_GB2312" w:eastAsia="仿宋_GB2312" w:cs="仿宋_GB2312"/>
          <w:bCs/>
          <w:sz w:val="28"/>
          <w:szCs w:val="28"/>
          <w:highlight w:val="none"/>
        </w:rPr>
        <w:t>（二）服务地点：西安市范围内，具体按照</w:t>
      </w:r>
      <w:r>
        <w:rPr>
          <w:rFonts w:hint="eastAsia" w:ascii="仿宋_GB2312" w:hAnsi="仿宋_GB2312" w:eastAsia="仿宋_GB2312" w:cs="仿宋_GB2312"/>
          <w:bCs/>
          <w:sz w:val="28"/>
          <w:szCs w:val="28"/>
          <w:highlight w:val="none"/>
          <w:lang w:val="en-US" w:eastAsia="zh-CN"/>
        </w:rPr>
        <w:t>甲方</w:t>
      </w:r>
      <w:r>
        <w:rPr>
          <w:rFonts w:hint="eastAsia" w:ascii="仿宋_GB2312" w:hAnsi="仿宋_GB2312" w:eastAsia="仿宋_GB2312" w:cs="仿宋_GB2312"/>
          <w:bCs/>
          <w:sz w:val="28"/>
          <w:szCs w:val="28"/>
          <w:highlight w:val="none"/>
        </w:rPr>
        <w:t>要求。</w:t>
      </w:r>
    </w:p>
    <w:p w14:paraId="215F7AC4">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rPr>
        <w:t>四、服务承诺：</w:t>
      </w:r>
      <w:r>
        <w:rPr>
          <w:rFonts w:hint="eastAsia" w:ascii="仿宋_GB2312" w:hAnsi="仿宋_GB2312" w:eastAsia="仿宋_GB2312" w:cs="仿宋_GB2312"/>
          <w:sz w:val="28"/>
          <w:szCs w:val="28"/>
          <w:highlight w:val="none"/>
        </w:rPr>
        <w:t>要求具有完善的管理及服务体系、高效的工作作风。</w:t>
      </w:r>
      <w:r>
        <w:rPr>
          <w:rFonts w:hint="eastAsia" w:ascii="仿宋_GB2312" w:hAnsi="仿宋_GB2312" w:eastAsia="仿宋_GB2312" w:cs="仿宋_GB2312"/>
          <w:sz w:val="28"/>
          <w:szCs w:val="28"/>
          <w:highlight w:val="none"/>
          <w:lang w:val="en-US" w:eastAsia="zh-CN"/>
        </w:rPr>
        <w:t>承诺调查结果通过专家验收。</w:t>
      </w:r>
    </w:p>
    <w:p w14:paraId="4AEF3E32">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sz w:val="28"/>
          <w:szCs w:val="28"/>
          <w:highlight w:val="none"/>
        </w:rPr>
        <w:t>五、</w:t>
      </w:r>
      <w:r>
        <w:rPr>
          <w:rFonts w:hint="eastAsia" w:ascii="仿宋_GB2312" w:hAnsi="仿宋_GB2312" w:eastAsia="仿宋_GB2312" w:cs="仿宋_GB2312"/>
          <w:b/>
          <w:bCs/>
          <w:sz w:val="28"/>
          <w:szCs w:val="28"/>
          <w:highlight w:val="none"/>
          <w:lang w:val="en-US" w:eastAsia="zh-CN"/>
        </w:rPr>
        <w:t>权利和义务</w:t>
      </w:r>
      <w:r>
        <w:rPr>
          <w:rFonts w:hint="eastAsia" w:ascii="仿宋_GB2312" w:hAnsi="仿宋_GB2312" w:eastAsia="仿宋_GB2312" w:cs="仿宋_GB2312"/>
          <w:sz w:val="28"/>
          <w:szCs w:val="28"/>
          <w:highlight w:val="none"/>
          <w:lang w:val="en-US" w:eastAsia="zh-CN"/>
        </w:rPr>
        <w:t xml:space="preserve"> </w:t>
      </w:r>
    </w:p>
    <w:p w14:paraId="584DD25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p>
    <w:p w14:paraId="34AA8D2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3E6B2F5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2、甲方有权监督检查乙方的检查情况。 </w:t>
      </w:r>
    </w:p>
    <w:p w14:paraId="1AA19F9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3、甲方可要求乙方调整不合格的服务人员，并于5日内调整到位。 </w:t>
      </w:r>
    </w:p>
    <w:p w14:paraId="55CFBB9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4、双方可根据政策的变动并结合实际情况对合同项目内容进行修改和补充，对项目内容的修改和补充双方以书面补充协议形式做出。 </w:t>
      </w:r>
    </w:p>
    <w:p w14:paraId="3929232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5、甲方有权调阅乙方关于该项目的全部工作资料，并对本项目的检查和研究成果拥有所有权。 </w:t>
      </w:r>
    </w:p>
    <w:p w14:paraId="289B449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33FF02D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1、乙方应按照国家服务规范、标准、规程和甲方的采购需求和服务要求进行工作，根据甲方要求按时提交质量合格的服务成果，满足甲方需求。 </w:t>
      </w:r>
    </w:p>
    <w:p w14:paraId="29A501F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2、乙方有权对业务工作提出建议。 </w:t>
      </w:r>
    </w:p>
    <w:p w14:paraId="2DB491B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3、乙方应接受甲方的检查监督及指导，完成甲方依合同约定交办的各项工作任务。 </w:t>
      </w:r>
    </w:p>
    <w:p w14:paraId="2D90C27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4、按合同约定要求开展工作，如有改变，乙方应提出书面申请，并征得甲方的书面同意。 </w:t>
      </w:r>
    </w:p>
    <w:p w14:paraId="505F7A9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5、乙方要对甲方提供现场检查工具等加强管理，保证工作正常开展，对乙方人为原因造成的损毁由乙方负责赔偿。 </w:t>
      </w:r>
    </w:p>
    <w:p w14:paraId="4FAE409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6、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 </w:t>
      </w:r>
    </w:p>
    <w:p w14:paraId="383EA9A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7、乙方应向甲方提供工作人员名单，并保证检查人员的相对稳定。同时乙方应为本项目设置固定项目管理团队，并保证团队骨干的稳定性。 </w:t>
      </w:r>
    </w:p>
    <w:p w14:paraId="5CB6F66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lang w:val="en-US" w:eastAsia="zh-CN"/>
        </w:rPr>
        <w:t xml:space="preserve">8、在现场的乙方工作人员，应遵守甲方或管理单位的安全保卫及其他有关的规章制度，承担其有关资料保密义务。对于不称职或不合适服务岗位的乙方工作人员，甲方有权要求乙方立即更换。 </w:t>
      </w:r>
    </w:p>
    <w:p w14:paraId="0B7175AC">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验收</w:t>
      </w:r>
    </w:p>
    <w:p w14:paraId="65D8044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350916A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（二）服务期满后，由乙方向甲方递交验收通知书，经甲方确认后，组织乙方进行系统验收。验收合格后，填写项目验收单作为对本次服务的最终认可。</w:t>
      </w:r>
    </w:p>
    <w:p w14:paraId="64CBBE1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1BAB26D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24AE04E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成交供应商</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rPr>
        <w:t>文件及澄清（承诺）函；</w:t>
      </w:r>
    </w:p>
    <w:p w14:paraId="25C5823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Cs/>
          <w:sz w:val="28"/>
          <w:szCs w:val="28"/>
          <w:highlight w:val="none"/>
        </w:rPr>
        <w:t>3、国家相应的标准、规范。</w:t>
      </w:r>
    </w:p>
    <w:p w14:paraId="72654B8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七、</w:t>
      </w:r>
      <w:r>
        <w:rPr>
          <w:rFonts w:hint="eastAsia" w:ascii="仿宋_GB2312" w:hAnsi="仿宋_GB2312" w:eastAsia="仿宋_GB2312" w:cs="仿宋_GB2312"/>
          <w:b/>
          <w:sz w:val="28"/>
          <w:szCs w:val="28"/>
          <w:highlight w:val="none"/>
        </w:rPr>
        <w:t>其它事项</w:t>
      </w:r>
    </w:p>
    <w:p w14:paraId="373190E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（一）乙方不得将项目转让、分包给其它单位或个人。</w:t>
      </w:r>
    </w:p>
    <w:p w14:paraId="48C483D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（二）乙方的磋商响应文件和承诺等内容将列入合同。</w:t>
      </w:r>
    </w:p>
    <w:p w14:paraId="404DE2B4">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bCs/>
          <w:sz w:val="28"/>
          <w:szCs w:val="28"/>
          <w:highlight w:val="none"/>
          <w:lang w:val="en-US" w:eastAsia="zh-CN"/>
        </w:rPr>
        <w:t>八</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sz w:val="28"/>
          <w:szCs w:val="28"/>
          <w:highlight w:val="none"/>
        </w:rPr>
        <w:t>违约责任</w:t>
      </w:r>
    </w:p>
    <w:p w14:paraId="332F905A">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78369DC5">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60B5D7A1">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629DD7BB">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、合同争议解决的方式</w:t>
      </w:r>
    </w:p>
    <w:p w14:paraId="2DF16678">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272D7231">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68A1806D">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158F09BC">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w:t>
      </w:r>
      <w:r>
        <w:rPr>
          <w:rFonts w:hint="eastAsia" w:ascii="仿宋_GB2312" w:hAnsi="仿宋_GB2312" w:eastAsia="仿宋_GB2312" w:cs="仿宋_GB2312"/>
          <w:b/>
          <w:bCs/>
          <w:sz w:val="28"/>
          <w:szCs w:val="28"/>
          <w:highlight w:val="none"/>
        </w:rPr>
        <w:t>、合同生效</w:t>
      </w:r>
    </w:p>
    <w:p w14:paraId="201FF866">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320CC79D">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58461B8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1750D3D2">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p>
    <w:p w14:paraId="13688171">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（五）本合同如有未尽事宜，甲、乙双方协商解决。</w:t>
      </w:r>
    </w:p>
    <w:p w14:paraId="5E65B7C9">
      <w:pPr>
        <w:tabs>
          <w:tab w:val="left" w:pos="480"/>
        </w:tabs>
        <w:spacing w:line="360" w:lineRule="auto"/>
        <w:ind w:firstLine="480" w:firstLineChars="200"/>
        <w:rPr>
          <w:rFonts w:hint="eastAsia" w:ascii="仿宋_GB2312" w:hAnsi="仿宋_GB2312" w:eastAsia="仿宋_GB2312" w:cs="仿宋_GB2312"/>
          <w:spacing w:val="-20"/>
          <w:kern w:val="0"/>
          <w:sz w:val="28"/>
          <w:szCs w:val="28"/>
          <w:highlight w:val="none"/>
        </w:rPr>
      </w:pPr>
    </w:p>
    <w:tbl>
      <w:tblPr>
        <w:tblStyle w:val="8"/>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48BF028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D0B9A9C">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甲  方</w:t>
            </w:r>
          </w:p>
        </w:tc>
        <w:tc>
          <w:tcPr>
            <w:tcW w:w="4202" w:type="dxa"/>
            <w:noWrap w:val="0"/>
            <w:vAlign w:val="center"/>
          </w:tcPr>
          <w:p w14:paraId="7FFB8544">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乙  方</w:t>
            </w:r>
          </w:p>
        </w:tc>
      </w:tr>
      <w:tr w14:paraId="50AA0C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C304871">
            <w:pPr>
              <w:autoSpaceDE w:val="0"/>
              <w:autoSpaceDN w:val="0"/>
              <w:adjustRightInd w:val="0"/>
              <w:ind w:firstLine="840" w:firstLineChars="35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c>
          <w:tcPr>
            <w:tcW w:w="4202" w:type="dxa"/>
            <w:noWrap w:val="0"/>
            <w:vAlign w:val="center"/>
          </w:tcPr>
          <w:p w14:paraId="748684D1">
            <w:pPr>
              <w:autoSpaceDE w:val="0"/>
              <w:autoSpaceDN w:val="0"/>
              <w:adjustRightInd w:val="0"/>
              <w:ind w:firstLine="960" w:firstLineChars="4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r>
      <w:tr w14:paraId="42C7382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9DF4B3A">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地址： </w:t>
            </w:r>
          </w:p>
        </w:tc>
        <w:tc>
          <w:tcPr>
            <w:tcW w:w="4202" w:type="dxa"/>
            <w:noWrap w:val="0"/>
            <w:vAlign w:val="center"/>
          </w:tcPr>
          <w:p w14:paraId="5B6BE59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地址：</w:t>
            </w:r>
          </w:p>
        </w:tc>
      </w:tr>
      <w:tr w14:paraId="08DF127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B0735C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c>
          <w:tcPr>
            <w:tcW w:w="4202" w:type="dxa"/>
            <w:noWrap w:val="0"/>
            <w:vAlign w:val="center"/>
          </w:tcPr>
          <w:p w14:paraId="2E8D9683">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r>
      <w:tr w14:paraId="36971C4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499C76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法定代表人： </w:t>
            </w:r>
          </w:p>
        </w:tc>
        <w:tc>
          <w:tcPr>
            <w:tcW w:w="4202" w:type="dxa"/>
            <w:noWrap w:val="0"/>
            <w:vAlign w:val="center"/>
          </w:tcPr>
          <w:p w14:paraId="09662A4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法定代表人：</w:t>
            </w:r>
          </w:p>
        </w:tc>
      </w:tr>
      <w:tr w14:paraId="7A13D33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C5703E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4202" w:type="dxa"/>
            <w:noWrap w:val="0"/>
            <w:vAlign w:val="center"/>
          </w:tcPr>
          <w:p w14:paraId="7196EF7E">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r>
      <w:tr w14:paraId="1D9D43C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ED516C3">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c>
          <w:tcPr>
            <w:tcW w:w="4202" w:type="dxa"/>
            <w:noWrap w:val="0"/>
            <w:vAlign w:val="center"/>
          </w:tcPr>
          <w:p w14:paraId="190C2728">
            <w:pPr>
              <w:autoSpaceDE w:val="0"/>
              <w:autoSpaceDN w:val="0"/>
              <w:adjustRightInd w:val="0"/>
              <w:ind w:left="84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r>
      <w:tr w14:paraId="7927741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1B0FF9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c>
          <w:tcPr>
            <w:tcW w:w="4202" w:type="dxa"/>
            <w:noWrap w:val="0"/>
            <w:vAlign w:val="center"/>
          </w:tcPr>
          <w:p w14:paraId="5BC44D8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r>
      <w:tr w14:paraId="57D9B38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EB461C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c>
          <w:tcPr>
            <w:tcW w:w="4202" w:type="dxa"/>
            <w:noWrap w:val="0"/>
            <w:vAlign w:val="center"/>
          </w:tcPr>
          <w:p w14:paraId="3CD36E1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r>
      <w:tr w14:paraId="77CD752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63EC66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c>
          <w:tcPr>
            <w:tcW w:w="4202" w:type="dxa"/>
            <w:noWrap w:val="0"/>
            <w:vAlign w:val="center"/>
          </w:tcPr>
          <w:p w14:paraId="13E25AD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r>
    </w:tbl>
    <w:p w14:paraId="4058F438">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仿宋简体">
    <w:altName w:val="Arial Unicode MS"/>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8B0AD2"/>
    <w:rsid w:val="08B82EF3"/>
    <w:rsid w:val="0CA43C19"/>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8907E91"/>
    <w:rsid w:val="58DF3ACC"/>
    <w:rsid w:val="59C3741A"/>
    <w:rsid w:val="5B1E7567"/>
    <w:rsid w:val="5C440896"/>
    <w:rsid w:val="623C6124"/>
    <w:rsid w:val="680C37D3"/>
    <w:rsid w:val="68FC4253"/>
    <w:rsid w:val="690A53D6"/>
    <w:rsid w:val="6AF83D38"/>
    <w:rsid w:val="6E4E7318"/>
    <w:rsid w:val="6FC32419"/>
    <w:rsid w:val="70443EED"/>
    <w:rsid w:val="7312139A"/>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2"/>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2112</Words>
  <Characters>2138</Characters>
  <Lines>0</Lines>
  <Paragraphs>0</Paragraphs>
  <TotalTime>0</TotalTime>
  <ScaleCrop>false</ScaleCrop>
  <LinksUpToDate>false</LinksUpToDate>
  <CharactersWithSpaces>2207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2025-06-18T07:08:31Z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