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6B246">
      <w:pPr>
        <w:pStyle w:val="7"/>
        <w:jc w:val="center"/>
        <w:outlineLvl w:val="1"/>
        <w:rPr>
          <w:rFonts w:hint="eastAsia" w:ascii="宋体" w:hAnsi="宋体" w:eastAsia="宋体" w:cs="宋体"/>
          <w:b/>
          <w:sz w:val="28"/>
          <w:szCs w:val="28"/>
          <w:lang w:eastAsia="zh-CN"/>
        </w:rPr>
      </w:pPr>
      <w:bookmarkStart w:id="0" w:name="_GoBack"/>
      <w:bookmarkEnd w:id="0"/>
      <w:r>
        <w:rPr>
          <w:rFonts w:hint="eastAsia" w:ascii="宋体" w:hAnsi="宋体" w:eastAsia="宋体" w:cs="宋体"/>
          <w:b/>
          <w:sz w:val="28"/>
          <w:szCs w:val="28"/>
        </w:rPr>
        <w:t>拟签订合同文本</w:t>
      </w:r>
      <w:r>
        <w:rPr>
          <w:rFonts w:hint="eastAsia" w:ascii="宋体" w:hAnsi="宋体" w:eastAsia="宋体" w:cs="宋体"/>
          <w:b/>
          <w:sz w:val="28"/>
          <w:szCs w:val="28"/>
          <w:lang w:eastAsia="zh-CN"/>
        </w:rPr>
        <w:t>（</w:t>
      </w:r>
      <w:r>
        <w:rPr>
          <w:rFonts w:hint="eastAsia" w:ascii="宋体" w:hAnsi="宋体" w:eastAsia="宋体" w:cs="宋体"/>
          <w:b/>
          <w:sz w:val="28"/>
          <w:szCs w:val="28"/>
          <w:lang w:val="en-US" w:eastAsia="zh-CN"/>
        </w:rPr>
        <w:t>参考合同</w:t>
      </w:r>
      <w:r>
        <w:rPr>
          <w:rFonts w:hint="eastAsia" w:ascii="宋体" w:hAnsi="宋体" w:eastAsia="宋体" w:cs="宋体"/>
          <w:b/>
          <w:sz w:val="28"/>
          <w:szCs w:val="28"/>
          <w:lang w:eastAsia="zh-CN"/>
        </w:rPr>
        <w:t>）</w:t>
      </w:r>
    </w:p>
    <w:p w14:paraId="3802B2A7">
      <w:pPr>
        <w:kinsoku w:val="0"/>
        <w:spacing w:line="360" w:lineRule="auto"/>
        <w:ind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val="en-US" w:eastAsia="zh-CN"/>
        </w:rPr>
        <w:t>西安市临潼区人民检察院</w:t>
      </w:r>
    </w:p>
    <w:p w14:paraId="1A3630A6">
      <w:pPr>
        <w:kinsoku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rPr>
        <w:t xml:space="preserve">          </w:t>
      </w:r>
    </w:p>
    <w:p w14:paraId="2D273FF6">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w:t>
      </w:r>
      <w:r>
        <w:rPr>
          <w:rFonts w:hint="eastAsia" w:ascii="宋体" w:hAnsi="宋体" w:eastAsia="宋体" w:cs="宋体"/>
          <w:sz w:val="24"/>
          <w:szCs w:val="24"/>
          <w:highlight w:val="none"/>
          <w:lang w:eastAsia="zh-CN"/>
        </w:rPr>
        <w:t>民法典</w:t>
      </w:r>
      <w:r>
        <w:rPr>
          <w:rFonts w:hint="eastAsia" w:ascii="宋体" w:hAnsi="宋体" w:eastAsia="宋体" w:cs="宋体"/>
          <w:sz w:val="24"/>
          <w:szCs w:val="24"/>
          <w:highlight w:val="none"/>
        </w:rPr>
        <w:t>》等法律法规，甲方通过</w:t>
      </w:r>
      <w:r>
        <w:rPr>
          <w:rFonts w:hint="eastAsia" w:ascii="宋体" w:hAnsi="宋体" w:eastAsia="宋体" w:cs="宋体"/>
          <w:b w:val="0"/>
          <w:bCs w:val="0"/>
          <w:sz w:val="24"/>
          <w:szCs w:val="24"/>
          <w:highlight w:val="none"/>
          <w:lang w:val="en-US" w:eastAsia="zh-CN"/>
        </w:rPr>
        <w:t>公开</w:t>
      </w:r>
      <w:r>
        <w:rPr>
          <w:rFonts w:hint="eastAsia" w:ascii="宋体" w:hAnsi="宋体" w:eastAsia="宋体" w:cs="宋体"/>
          <w:sz w:val="24"/>
          <w:szCs w:val="24"/>
          <w:highlight w:val="none"/>
        </w:rPr>
        <w:t>招标，选定乙方为中标单位。甲、乙双方在平等基础上协商一致，达成如下合同条款：</w:t>
      </w:r>
    </w:p>
    <w:p w14:paraId="5960E087">
      <w:pPr>
        <w:kinsoku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b/>
          <w:bCs/>
          <w:sz w:val="24"/>
          <w:szCs w:val="24"/>
          <w:highlight w:val="none"/>
        </w:rPr>
        <w:t>合同内容</w:t>
      </w:r>
    </w:p>
    <w:tbl>
      <w:tblPr>
        <w:tblStyle w:val="5"/>
        <w:tblW w:w="8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1720"/>
        <w:gridCol w:w="1635"/>
        <w:gridCol w:w="1613"/>
        <w:gridCol w:w="1605"/>
        <w:gridCol w:w="1189"/>
      </w:tblGrid>
      <w:tr w14:paraId="027AA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1692CB46">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720" w:type="dxa"/>
            <w:tcBorders>
              <w:top w:val="single" w:color="auto" w:sz="4" w:space="0"/>
              <w:left w:val="single" w:color="auto" w:sz="4" w:space="0"/>
              <w:bottom w:val="single" w:color="auto" w:sz="4" w:space="0"/>
              <w:right w:val="single" w:color="auto" w:sz="4" w:space="0"/>
            </w:tcBorders>
            <w:noWrap w:val="0"/>
            <w:vAlign w:val="center"/>
          </w:tcPr>
          <w:p w14:paraId="7603BE2B">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产品名称</w:t>
            </w:r>
          </w:p>
        </w:tc>
        <w:tc>
          <w:tcPr>
            <w:tcW w:w="1635" w:type="dxa"/>
            <w:tcBorders>
              <w:top w:val="single" w:color="auto" w:sz="4" w:space="0"/>
              <w:left w:val="single" w:color="auto" w:sz="4" w:space="0"/>
              <w:bottom w:val="single" w:color="auto" w:sz="4" w:space="0"/>
              <w:right w:val="single" w:color="auto" w:sz="4" w:space="0"/>
            </w:tcBorders>
            <w:noWrap w:val="0"/>
            <w:vAlign w:val="center"/>
          </w:tcPr>
          <w:p w14:paraId="450D661E">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型号</w:t>
            </w:r>
          </w:p>
        </w:tc>
        <w:tc>
          <w:tcPr>
            <w:tcW w:w="1613" w:type="dxa"/>
            <w:tcBorders>
              <w:top w:val="single" w:color="auto" w:sz="4" w:space="0"/>
              <w:left w:val="single" w:color="auto" w:sz="4" w:space="0"/>
              <w:bottom w:val="single" w:color="auto" w:sz="4" w:space="0"/>
              <w:right w:val="single" w:color="auto" w:sz="4" w:space="0"/>
            </w:tcBorders>
            <w:noWrap w:val="0"/>
            <w:vAlign w:val="center"/>
          </w:tcPr>
          <w:p w14:paraId="1AB178BC">
            <w:pPr>
              <w:spacing w:line="360" w:lineRule="auto"/>
              <w:jc w:val="center"/>
              <w:rPr>
                <w:rFonts w:hint="eastAsia" w:ascii="宋体" w:hAnsi="宋体" w:eastAsia="宋体" w:cs="宋体"/>
                <w:b/>
                <w:strike/>
                <w:color w:val="auto"/>
                <w:sz w:val="24"/>
                <w:szCs w:val="24"/>
                <w:highlight w:val="yellow"/>
              </w:rPr>
            </w:pPr>
            <w:r>
              <w:rPr>
                <w:rFonts w:hint="eastAsia" w:ascii="宋体" w:hAnsi="宋体" w:eastAsia="宋体" w:cs="宋体"/>
                <w:b/>
                <w:color w:val="auto"/>
                <w:sz w:val="24"/>
                <w:szCs w:val="24"/>
                <w:highlight w:val="none"/>
              </w:rPr>
              <w:t>生产厂家</w:t>
            </w:r>
          </w:p>
        </w:tc>
        <w:tc>
          <w:tcPr>
            <w:tcW w:w="1605" w:type="dxa"/>
            <w:tcBorders>
              <w:top w:val="single" w:color="auto" w:sz="4" w:space="0"/>
              <w:left w:val="single" w:color="auto" w:sz="4" w:space="0"/>
              <w:bottom w:val="single" w:color="auto" w:sz="4" w:space="0"/>
              <w:right w:val="single" w:color="auto" w:sz="4" w:space="0"/>
            </w:tcBorders>
            <w:noWrap w:val="0"/>
            <w:vAlign w:val="center"/>
          </w:tcPr>
          <w:p w14:paraId="2ADC4C01">
            <w:pPr>
              <w:spacing w:line="360" w:lineRule="auto"/>
              <w:jc w:val="center"/>
              <w:rPr>
                <w:rFonts w:hint="eastAsia" w:ascii="宋体" w:hAnsi="宋体" w:eastAsia="宋体" w:cs="宋体"/>
                <w:b/>
                <w:strike/>
                <w:color w:val="auto"/>
                <w:sz w:val="24"/>
                <w:szCs w:val="24"/>
                <w:highlight w:val="yellow"/>
              </w:rPr>
            </w:pPr>
            <w:r>
              <w:rPr>
                <w:rFonts w:hint="eastAsia" w:ascii="宋体" w:hAnsi="宋体" w:eastAsia="宋体" w:cs="宋体"/>
                <w:b/>
                <w:color w:val="auto"/>
                <w:sz w:val="24"/>
                <w:szCs w:val="24"/>
                <w:highlight w:val="none"/>
              </w:rPr>
              <w:t>单价</w:t>
            </w:r>
          </w:p>
        </w:tc>
        <w:tc>
          <w:tcPr>
            <w:tcW w:w="1189" w:type="dxa"/>
            <w:tcBorders>
              <w:top w:val="single" w:color="auto" w:sz="4" w:space="0"/>
              <w:left w:val="single" w:color="auto" w:sz="4" w:space="0"/>
              <w:bottom w:val="single" w:color="auto" w:sz="4" w:space="0"/>
              <w:right w:val="single" w:color="auto" w:sz="4" w:space="0"/>
            </w:tcBorders>
            <w:noWrap w:val="0"/>
            <w:vAlign w:val="center"/>
          </w:tcPr>
          <w:p w14:paraId="4AE57CF2">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tc>
      </w:tr>
      <w:tr w14:paraId="1AF88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431E2868">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720" w:type="dxa"/>
            <w:tcBorders>
              <w:top w:val="single" w:color="auto" w:sz="4" w:space="0"/>
              <w:left w:val="single" w:color="auto" w:sz="4" w:space="0"/>
              <w:bottom w:val="single" w:color="auto" w:sz="4" w:space="0"/>
              <w:right w:val="single" w:color="auto" w:sz="4" w:space="0"/>
            </w:tcBorders>
            <w:noWrap w:val="0"/>
            <w:vAlign w:val="center"/>
          </w:tcPr>
          <w:p w14:paraId="6F31F5A7">
            <w:pPr>
              <w:adjustRightInd w:val="0"/>
              <w:snapToGrid w:val="0"/>
              <w:spacing w:line="360" w:lineRule="auto"/>
              <w:jc w:val="center"/>
              <w:rPr>
                <w:rFonts w:hint="eastAsia" w:ascii="宋体" w:hAnsi="宋体" w:eastAsia="宋体" w:cs="宋体"/>
                <w:color w:val="auto"/>
                <w:sz w:val="24"/>
                <w:szCs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171332DD">
            <w:pPr>
              <w:spacing w:line="360" w:lineRule="auto"/>
              <w:jc w:val="center"/>
              <w:rPr>
                <w:rFonts w:hint="eastAsia" w:ascii="宋体" w:hAnsi="宋体" w:eastAsia="宋体" w:cs="宋体"/>
                <w:color w:val="auto"/>
                <w:sz w:val="24"/>
                <w:szCs w:val="24"/>
                <w:highlight w:val="none"/>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6F8EE5EA">
            <w:pPr>
              <w:adjustRightInd w:val="0"/>
              <w:snapToGrid w:val="0"/>
              <w:spacing w:line="360" w:lineRule="auto"/>
              <w:jc w:val="center"/>
              <w:rPr>
                <w:rFonts w:hint="eastAsia" w:ascii="宋体" w:hAnsi="宋体" w:eastAsia="宋体" w:cs="宋体"/>
                <w:strike/>
                <w:color w:val="auto"/>
                <w:sz w:val="24"/>
                <w:szCs w:val="24"/>
                <w:highlight w:val="yellow"/>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14:paraId="47CF0D25">
            <w:pPr>
              <w:spacing w:line="360" w:lineRule="auto"/>
              <w:jc w:val="center"/>
              <w:textAlignment w:val="center"/>
              <w:rPr>
                <w:rFonts w:hint="eastAsia" w:ascii="宋体" w:hAnsi="宋体" w:eastAsia="宋体" w:cs="宋体"/>
                <w:strike/>
                <w:color w:val="auto"/>
                <w:sz w:val="24"/>
                <w:szCs w:val="24"/>
                <w:highlight w:val="yellow"/>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14:paraId="4B37B8B6">
            <w:pPr>
              <w:spacing w:line="360" w:lineRule="auto"/>
              <w:jc w:val="center"/>
              <w:textAlignment w:val="center"/>
              <w:rPr>
                <w:rFonts w:hint="eastAsia" w:ascii="宋体" w:hAnsi="宋体" w:eastAsia="宋体" w:cs="宋体"/>
                <w:color w:val="auto"/>
                <w:sz w:val="24"/>
                <w:szCs w:val="24"/>
                <w:highlight w:val="none"/>
              </w:rPr>
            </w:pPr>
          </w:p>
        </w:tc>
      </w:tr>
      <w:tr w14:paraId="2673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6C5F61F7">
            <w:pPr>
              <w:adjustRightInd w:val="0"/>
              <w:snapToGrid w:val="0"/>
              <w:spacing w:line="360" w:lineRule="auto"/>
              <w:jc w:val="center"/>
              <w:rPr>
                <w:rFonts w:hint="eastAsia" w:ascii="宋体" w:hAnsi="宋体" w:eastAsia="宋体" w:cs="宋体"/>
                <w:color w:val="auto"/>
                <w:sz w:val="24"/>
                <w:szCs w:val="24"/>
                <w:highlight w:val="none"/>
              </w:rPr>
            </w:pPr>
          </w:p>
        </w:tc>
        <w:tc>
          <w:tcPr>
            <w:tcW w:w="1720" w:type="dxa"/>
            <w:tcBorders>
              <w:top w:val="single" w:color="auto" w:sz="4" w:space="0"/>
              <w:left w:val="single" w:color="auto" w:sz="4" w:space="0"/>
              <w:bottom w:val="single" w:color="auto" w:sz="4" w:space="0"/>
              <w:right w:val="single" w:color="auto" w:sz="4" w:space="0"/>
            </w:tcBorders>
            <w:noWrap w:val="0"/>
            <w:vAlign w:val="center"/>
          </w:tcPr>
          <w:p w14:paraId="70FB43DD">
            <w:pPr>
              <w:adjustRightInd w:val="0"/>
              <w:snapToGrid w:val="0"/>
              <w:spacing w:line="360" w:lineRule="auto"/>
              <w:jc w:val="center"/>
              <w:rPr>
                <w:rFonts w:hint="eastAsia" w:ascii="宋体" w:hAnsi="宋体" w:eastAsia="宋体" w:cs="宋体"/>
                <w:color w:val="auto"/>
                <w:sz w:val="24"/>
                <w:szCs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5BD1B516">
            <w:pPr>
              <w:spacing w:line="360" w:lineRule="auto"/>
              <w:jc w:val="center"/>
              <w:rPr>
                <w:rFonts w:hint="eastAsia" w:ascii="宋体" w:hAnsi="宋体" w:eastAsia="宋体" w:cs="宋体"/>
                <w:color w:val="auto"/>
                <w:sz w:val="24"/>
                <w:szCs w:val="24"/>
                <w:highlight w:val="none"/>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5591D9CA">
            <w:pPr>
              <w:adjustRightInd w:val="0"/>
              <w:snapToGrid w:val="0"/>
              <w:spacing w:line="360" w:lineRule="auto"/>
              <w:jc w:val="center"/>
              <w:rPr>
                <w:rFonts w:hint="eastAsia" w:ascii="宋体" w:hAnsi="宋体" w:eastAsia="宋体" w:cs="宋体"/>
                <w:strike/>
                <w:color w:val="auto"/>
                <w:sz w:val="24"/>
                <w:szCs w:val="24"/>
                <w:highlight w:val="yellow"/>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14:paraId="12990ACB">
            <w:pPr>
              <w:spacing w:line="360" w:lineRule="auto"/>
              <w:jc w:val="center"/>
              <w:textAlignment w:val="center"/>
              <w:rPr>
                <w:rFonts w:hint="eastAsia" w:ascii="宋体" w:hAnsi="宋体" w:eastAsia="宋体" w:cs="宋体"/>
                <w:strike/>
                <w:color w:val="auto"/>
                <w:sz w:val="24"/>
                <w:szCs w:val="24"/>
                <w:highlight w:val="yellow"/>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14:paraId="3BF192D7">
            <w:pPr>
              <w:spacing w:line="360" w:lineRule="auto"/>
              <w:jc w:val="center"/>
              <w:textAlignment w:val="center"/>
              <w:rPr>
                <w:rFonts w:hint="eastAsia" w:ascii="宋体" w:hAnsi="宋体" w:eastAsia="宋体" w:cs="宋体"/>
                <w:color w:val="auto"/>
                <w:sz w:val="24"/>
                <w:szCs w:val="24"/>
                <w:highlight w:val="none"/>
              </w:rPr>
            </w:pPr>
          </w:p>
        </w:tc>
      </w:tr>
      <w:tr w14:paraId="6D534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01ADC64D">
            <w:pPr>
              <w:adjustRightInd w:val="0"/>
              <w:snapToGrid w:val="0"/>
              <w:spacing w:line="360" w:lineRule="auto"/>
              <w:jc w:val="center"/>
              <w:rPr>
                <w:rFonts w:hint="eastAsia" w:ascii="宋体" w:hAnsi="宋体" w:eastAsia="宋体" w:cs="宋体"/>
                <w:color w:val="auto"/>
                <w:sz w:val="24"/>
                <w:szCs w:val="24"/>
                <w:highlight w:val="none"/>
              </w:rPr>
            </w:pPr>
          </w:p>
        </w:tc>
        <w:tc>
          <w:tcPr>
            <w:tcW w:w="1720" w:type="dxa"/>
            <w:tcBorders>
              <w:top w:val="single" w:color="auto" w:sz="4" w:space="0"/>
              <w:left w:val="single" w:color="auto" w:sz="4" w:space="0"/>
              <w:bottom w:val="single" w:color="auto" w:sz="4" w:space="0"/>
              <w:right w:val="single" w:color="auto" w:sz="4" w:space="0"/>
            </w:tcBorders>
            <w:noWrap w:val="0"/>
            <w:vAlign w:val="center"/>
          </w:tcPr>
          <w:p w14:paraId="5A4F0331">
            <w:pPr>
              <w:adjustRightInd w:val="0"/>
              <w:snapToGrid w:val="0"/>
              <w:spacing w:line="360" w:lineRule="auto"/>
              <w:jc w:val="center"/>
              <w:rPr>
                <w:rFonts w:hint="eastAsia" w:ascii="宋体" w:hAnsi="宋体" w:eastAsia="宋体" w:cs="宋体"/>
                <w:color w:val="auto"/>
                <w:sz w:val="24"/>
                <w:szCs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11822FB0">
            <w:pPr>
              <w:spacing w:line="360" w:lineRule="auto"/>
              <w:jc w:val="center"/>
              <w:rPr>
                <w:rFonts w:hint="eastAsia" w:ascii="宋体" w:hAnsi="宋体" w:eastAsia="宋体" w:cs="宋体"/>
                <w:color w:val="auto"/>
                <w:sz w:val="24"/>
                <w:szCs w:val="24"/>
                <w:highlight w:val="none"/>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2E332786">
            <w:pPr>
              <w:adjustRightInd w:val="0"/>
              <w:snapToGrid w:val="0"/>
              <w:spacing w:line="360" w:lineRule="auto"/>
              <w:jc w:val="center"/>
              <w:rPr>
                <w:rFonts w:hint="eastAsia" w:ascii="宋体" w:hAnsi="宋体" w:eastAsia="宋体" w:cs="宋体"/>
                <w:strike/>
                <w:color w:val="auto"/>
                <w:sz w:val="24"/>
                <w:szCs w:val="24"/>
                <w:highlight w:val="yellow"/>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14:paraId="319A9A6F">
            <w:pPr>
              <w:spacing w:line="360" w:lineRule="auto"/>
              <w:jc w:val="center"/>
              <w:textAlignment w:val="center"/>
              <w:rPr>
                <w:rFonts w:hint="eastAsia" w:ascii="宋体" w:hAnsi="宋体" w:eastAsia="宋体" w:cs="宋体"/>
                <w:strike/>
                <w:color w:val="auto"/>
                <w:sz w:val="24"/>
                <w:szCs w:val="24"/>
                <w:highlight w:val="yellow"/>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14:paraId="0B74BEFA">
            <w:pPr>
              <w:spacing w:line="360" w:lineRule="auto"/>
              <w:jc w:val="center"/>
              <w:textAlignment w:val="center"/>
              <w:rPr>
                <w:rFonts w:hint="eastAsia" w:ascii="宋体" w:hAnsi="宋体" w:eastAsia="宋体" w:cs="宋体"/>
                <w:color w:val="auto"/>
                <w:sz w:val="24"/>
                <w:szCs w:val="24"/>
                <w:highlight w:val="none"/>
              </w:rPr>
            </w:pPr>
          </w:p>
        </w:tc>
      </w:tr>
      <w:tr w14:paraId="318A4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exact"/>
          <w:jc w:val="center"/>
        </w:trPr>
        <w:tc>
          <w:tcPr>
            <w:tcW w:w="2554" w:type="dxa"/>
            <w:gridSpan w:val="2"/>
            <w:tcBorders>
              <w:top w:val="single" w:color="auto" w:sz="4" w:space="0"/>
              <w:left w:val="single" w:color="auto" w:sz="4" w:space="0"/>
              <w:bottom w:val="single" w:color="auto" w:sz="4" w:space="0"/>
              <w:right w:val="single" w:color="auto" w:sz="4" w:space="0"/>
            </w:tcBorders>
            <w:noWrap w:val="0"/>
            <w:vAlign w:val="center"/>
          </w:tcPr>
          <w:p w14:paraId="7332AB88">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总计（人民币/元）</w:t>
            </w:r>
          </w:p>
        </w:tc>
        <w:tc>
          <w:tcPr>
            <w:tcW w:w="6042" w:type="dxa"/>
            <w:gridSpan w:val="4"/>
            <w:tcBorders>
              <w:top w:val="single" w:color="auto" w:sz="4" w:space="0"/>
              <w:left w:val="single" w:color="auto" w:sz="4" w:space="0"/>
              <w:bottom w:val="single" w:color="auto" w:sz="4" w:space="0"/>
              <w:right w:val="single" w:color="auto" w:sz="4" w:space="0"/>
            </w:tcBorders>
            <w:noWrap w:val="0"/>
            <w:vAlign w:val="center"/>
          </w:tcPr>
          <w:p w14:paraId="3AB1BBA1">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（大写）</w:t>
            </w:r>
          </w:p>
        </w:tc>
      </w:tr>
    </w:tbl>
    <w:p w14:paraId="19715AC7">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乙方负责按合同清单确定的物品规格、</w:t>
      </w:r>
      <w:r>
        <w:rPr>
          <w:rFonts w:hint="eastAsia" w:ascii="宋体" w:hAnsi="宋体" w:eastAsia="宋体" w:cs="宋体"/>
          <w:sz w:val="24"/>
          <w:szCs w:val="24"/>
          <w:highlight w:val="none"/>
          <w:lang w:val="en-US" w:eastAsia="zh-CN"/>
        </w:rPr>
        <w:t>包装</w:t>
      </w:r>
      <w:r>
        <w:rPr>
          <w:rFonts w:hint="eastAsia" w:ascii="宋体" w:hAnsi="宋体" w:eastAsia="宋体" w:cs="宋体"/>
          <w:sz w:val="24"/>
          <w:szCs w:val="24"/>
          <w:highlight w:val="none"/>
        </w:rPr>
        <w:t>及配套内容进行供货，及时运到甲方</w:t>
      </w:r>
      <w:r>
        <w:rPr>
          <w:rFonts w:hint="eastAsia" w:ascii="宋体" w:hAnsi="宋体" w:eastAsia="宋体" w:cs="宋体"/>
          <w:b w:val="0"/>
          <w:bCs w:val="0"/>
          <w:sz w:val="24"/>
          <w:szCs w:val="24"/>
          <w:highlight w:val="none"/>
          <w:lang w:val="en-US" w:eastAsia="zh-CN"/>
        </w:rPr>
        <w:t>指定</w:t>
      </w:r>
      <w:r>
        <w:rPr>
          <w:rFonts w:hint="eastAsia" w:ascii="宋体" w:hAnsi="宋体" w:eastAsia="宋体" w:cs="宋体"/>
          <w:sz w:val="24"/>
          <w:szCs w:val="24"/>
          <w:highlight w:val="none"/>
        </w:rPr>
        <w:t>交货地点</w:t>
      </w:r>
      <w:r>
        <w:rPr>
          <w:rFonts w:hint="eastAsia" w:ascii="宋体" w:hAnsi="宋体" w:eastAsia="宋体" w:cs="宋体"/>
          <w:sz w:val="24"/>
          <w:szCs w:val="24"/>
          <w:highlight w:val="none"/>
          <w:lang w:val="en-US" w:eastAsia="zh-CN"/>
        </w:rPr>
        <w:t>交货验收</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确保产品无质量问题，并经甲方验收后存放入库，做好售后服务工作</w:t>
      </w:r>
      <w:r>
        <w:rPr>
          <w:rFonts w:hint="eastAsia" w:ascii="宋体" w:hAnsi="宋体" w:eastAsia="宋体" w:cs="宋体"/>
          <w:sz w:val="24"/>
          <w:szCs w:val="24"/>
          <w:highlight w:val="none"/>
        </w:rPr>
        <w:t>。</w:t>
      </w:r>
    </w:p>
    <w:p w14:paraId="04AFFB7F">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二、合同价格</w:t>
      </w:r>
    </w:p>
    <w:p w14:paraId="4A5A2654">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合同单价：供应商按照服装面料及要求在报价单中明确单件报价，单件报价含税，包含设计费、制版费、材料费、运输费、人工费以及其他本项目所需要的所有费用，不受市场价格变化因素影响，并按规定要求开具国家正式增值税发票。</w:t>
      </w:r>
    </w:p>
    <w:p w14:paraId="5BA751D9">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合同总价：以实际交付数量结算。但不得超出本次采购预算总金额。</w:t>
      </w:r>
    </w:p>
    <w:p w14:paraId="63F449E9">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三、款项支付</w:t>
      </w:r>
    </w:p>
    <w:p w14:paraId="25CD5709">
      <w:pPr>
        <w:spacing w:line="360" w:lineRule="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采购包1： 付款条件说明：自双方签订合同之日起，达到付款条件起 10 日内，支付合同总金额的 50.00%。</w:t>
      </w:r>
    </w:p>
    <w:p w14:paraId="738E6B60">
      <w:pPr>
        <w:spacing w:line="360" w:lineRule="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采购包1： 付款条件说明： 货物验收合格后，，达到付款条件起 10 日内，支付合同总金额的 50.00%。</w:t>
      </w:r>
    </w:p>
    <w:p w14:paraId="748ECEE1">
      <w:pPr>
        <w:spacing w:line="360" w:lineRule="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四、交货</w:t>
      </w:r>
      <w:r>
        <w:rPr>
          <w:rFonts w:hint="eastAsia" w:ascii="宋体" w:hAnsi="宋体" w:eastAsia="宋体" w:cs="宋体"/>
          <w:b/>
          <w:bCs/>
          <w:sz w:val="24"/>
          <w:szCs w:val="24"/>
          <w:highlight w:val="none"/>
          <w:lang w:val="en-US" w:eastAsia="zh-CN"/>
        </w:rPr>
        <w:t>条件</w:t>
      </w:r>
      <w:r>
        <w:rPr>
          <w:rFonts w:hint="eastAsia" w:ascii="宋体" w:hAnsi="宋体" w:eastAsia="宋体" w:cs="宋体"/>
          <w:b/>
          <w:bCs/>
          <w:sz w:val="24"/>
          <w:szCs w:val="24"/>
          <w:highlight w:val="none"/>
          <w:lang w:eastAsia="zh-CN"/>
        </w:rPr>
        <w:t>：</w:t>
      </w:r>
    </w:p>
    <w:p w14:paraId="3939D5D3">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1、交货地点：</w:t>
      </w:r>
    </w:p>
    <w:p w14:paraId="02138B0E">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质保期：</w:t>
      </w:r>
    </w:p>
    <w:p w14:paraId="302A06E2">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五、质量保证</w:t>
      </w:r>
    </w:p>
    <w:p w14:paraId="564D1AEB">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1、乙方应当保证所供货物的来源渠道正常，产品是全新的、未使用过的、且完全符合合同规定的质量、规格、技术指标等要求，并在质保期内、外应对由于产品设计、工艺或材料的缺陷而产生的质量问题负责。</w:t>
      </w:r>
    </w:p>
    <w:p w14:paraId="44F47DAC">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2、在质保期内，如果发现货物的质量、规格、技术指标等存在与合同中任何一项不符，由乙方负责调整更换维修，费用自行承担。</w:t>
      </w:r>
    </w:p>
    <w:p w14:paraId="02F51881">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质保期</w:t>
      </w:r>
      <w:r>
        <w:rPr>
          <w:rFonts w:hint="eastAsia" w:ascii="宋体" w:hAnsi="宋体" w:eastAsia="宋体" w:cs="宋体"/>
          <w:b/>
          <w:color w:val="auto"/>
          <w:sz w:val="24"/>
          <w:szCs w:val="24"/>
          <w:highlight w:val="none"/>
        </w:rPr>
        <w:t>与承诺</w:t>
      </w:r>
    </w:p>
    <w:p w14:paraId="65D4E649">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1、产品符合国家三包规定，质保期为2年，中标人承诺的质保期限超过招标文件要求的，按其承诺时间质保。 </w:t>
      </w:r>
    </w:p>
    <w:p w14:paraId="6D8D9E9D">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2、中标人承诺的质保期为终验合格之日起。</w:t>
      </w:r>
    </w:p>
    <w:p w14:paraId="7D20237E">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3、所有产品质量必须符合国家有关规范和相关政策。所有货物及辅材必须是未使用过的新产品，质量优良、渠道正当，配置合理。 </w:t>
      </w:r>
    </w:p>
    <w:p w14:paraId="32842E1B">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4、质保期出现的质量问题由中标人负责解决并承担所有费用。质保期后如需维修或更换，中标人应以优惠价提供。</w:t>
      </w:r>
    </w:p>
    <w:p w14:paraId="09C184C6">
      <w:pPr>
        <w:pStyle w:val="3"/>
        <w:numPr>
          <w:ilvl w:val="0"/>
          <w:numId w:val="0"/>
        </w:numPr>
        <w:kinsoku w:val="0"/>
        <w:overflowPunct w:val="0"/>
        <w:autoSpaceDE w:val="0"/>
        <w:autoSpaceDN w:val="0"/>
        <w:adjustRightInd w:val="0"/>
        <w:snapToGrid w:val="0"/>
        <w:spacing w:line="360" w:lineRule="auto"/>
        <w:ind w:right="120" w:rightChars="0"/>
        <w:contextualSpacing/>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七、甲方的权利和义务</w:t>
      </w:r>
    </w:p>
    <w:p w14:paraId="1F522E07">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1、甲方的权利</w:t>
      </w:r>
    </w:p>
    <w:p w14:paraId="5D156EBC">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甲方有权随时了解项目进度，并要求乙方提供项目相关资料。</w:t>
      </w:r>
    </w:p>
    <w:p w14:paraId="07241EEB">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甲方有权对项目资金使用情况进行监督、检查，并要求甲方、乙方提供相关资料。</w:t>
      </w:r>
    </w:p>
    <w:p w14:paraId="797F6A99">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按照本合同约定或有关法律法规、政府采购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25BC5041">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甲方有权在乙方履行合同过程中出现损害或可能损害公共利益、公共安全情形时终止本合同。</w:t>
      </w:r>
    </w:p>
    <w:p w14:paraId="3A96E247">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甲方有权根据国家政策或法律法规的变动对服务项目的需求标准和质量要求作出相应变动或者取消项目。</w:t>
      </w:r>
    </w:p>
    <w:p w14:paraId="12790E2B">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甲方有权将乙方履行合同情况及不符合政府购买服务管理规定情况，向相关部门报告并纳入不良信用记录、年检（报）、评估、执法等监管体系中。</w:t>
      </w:r>
    </w:p>
    <w:p w14:paraId="346A12FE">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2、甲方的义务</w:t>
      </w:r>
    </w:p>
    <w:p w14:paraId="5C868A39">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甲方为项目实施的主体责任人，对项目的实施承担责任。</w:t>
      </w:r>
    </w:p>
    <w:p w14:paraId="07D21661">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甲方负责组织验收，并根据验收结果签署验收报告单。</w:t>
      </w:r>
    </w:p>
    <w:p w14:paraId="776C9582">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甲方应为乙方在履行本合同过程中需要的与其他的沟通、协调提供必要的协助。</w:t>
      </w:r>
    </w:p>
    <w:p w14:paraId="49D91F87">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甲方应按照合同约定支付服务费用。</w:t>
      </w:r>
    </w:p>
    <w:p w14:paraId="4A0CF38C">
      <w:pPr>
        <w:pStyle w:val="3"/>
        <w:kinsoku w:val="0"/>
        <w:overflowPunct w:val="0"/>
        <w:autoSpaceDE w:val="0"/>
        <w:autoSpaceDN w:val="0"/>
        <w:adjustRightInd w:val="0"/>
        <w:snapToGrid w:val="0"/>
        <w:spacing w:line="360" w:lineRule="auto"/>
        <w:contextualSpacing/>
        <w:rPr>
          <w:rFonts w:hint="eastAsia" w:ascii="宋体" w:hAnsi="宋体" w:eastAsia="宋体" w:cs="宋体"/>
          <w:b/>
          <w:sz w:val="24"/>
          <w:szCs w:val="24"/>
          <w:highlight w:val="none"/>
        </w:rPr>
      </w:pPr>
      <w:r>
        <w:rPr>
          <w:rFonts w:hint="eastAsia" w:ascii="宋体" w:hAnsi="宋体" w:eastAsia="宋体" w:cs="宋体"/>
          <w:b/>
          <w:sz w:val="24"/>
          <w:szCs w:val="24"/>
          <w:highlight w:val="none"/>
        </w:rPr>
        <w:t>八、乙方的权利和义务</w:t>
      </w:r>
    </w:p>
    <w:p w14:paraId="78D62704">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1、乙方的权利</w:t>
      </w:r>
    </w:p>
    <w:p w14:paraId="00FE81EE">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乙方有权按照本合同约定向甲方收取服务费用。</w:t>
      </w:r>
    </w:p>
    <w:p w14:paraId="7FBD978E">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乙方有权自甲方处获得与提供本合同项下服务相关的所有必须的文件、资料。</w:t>
      </w:r>
    </w:p>
    <w:p w14:paraId="361969E0">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2、乙方的义务</w:t>
      </w:r>
    </w:p>
    <w:p w14:paraId="1A55515A">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乙方应配备具有相应资质、特定经验的工作人员负责项目实施，按照本合同约定的标准、要求和时间完成项目。</w:t>
      </w:r>
    </w:p>
    <w:p w14:paraId="15EDBF17">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乙方不得以任何理由将本合同项下的服务项目转包给第三方承担。</w:t>
      </w:r>
    </w:p>
    <w:p w14:paraId="3A611DDD">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乙方应负责本项目实施过程中的安全管理职责、与之相应的应急预案，因乙方未尽到管理职责发生安全事故的，由乙方承担相应的法律责任。</w:t>
      </w:r>
    </w:p>
    <w:p w14:paraId="688E6B0A">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乙方承诺根据本合同提供的服务及相关的软件和技术资料，均已取得有关知识产权的权利人的合法授权。如发生涉及到专利权、著作权、商标权等争议，乙方负责处理并承担由此引起的全部法律及经济责任。</w:t>
      </w:r>
    </w:p>
    <w:p w14:paraId="42F11999">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乙方应接受并配合甲方组织的对本合同履行情况的监督与检查，对于甲方指出的问题，应及时作出合理解释或予以纠正。</w:t>
      </w:r>
    </w:p>
    <w:p w14:paraId="5E721029">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乙方应对项目资金进行规范的财务管理和会计核算，加强自身监督，确保资金规范管理和使用。</w:t>
      </w:r>
    </w:p>
    <w:p w14:paraId="7FFCA805">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乙方应建立健全财务管理与报告制度，按要求向甲方提供资金的使用情况、项目执行情况、成果总结等材料，并配合甲方及甲方组织的监督检查或绩效评价</w:t>
      </w:r>
    </w:p>
    <w:p w14:paraId="2995CCE0">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14:paraId="5493580A">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项目交付后，乙方应无条件返还甲方向其提供的文件、资料并向甲方移交项目资料，同时乙方应当自留一份完整的项目档案并予以妥善保存。</w:t>
      </w:r>
    </w:p>
    <w:p w14:paraId="25211BD8">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对本合同履行过程中获得的对方资料数据、商业技术信息等承担保密责任。未经甲方事先书面同意，不得以任何形式向第三方泄露，也不得公开本合同及其相关附件内容。本合同的解除或终止，不免除双方的保密义务。</w:t>
      </w:r>
    </w:p>
    <w:p w14:paraId="74CA5AAE">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九、产品验收</w:t>
      </w:r>
    </w:p>
    <w:p w14:paraId="293140B2">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1、项目验收分初验和终验（使用抽检的方式）:</w:t>
      </w:r>
    </w:p>
    <w:p w14:paraId="4F3DB507">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初验：货物到达交货地点后，由使用单位根据合同对货物的名称、品牌、规格、型号、产地、数量、质量进行检查，</w:t>
      </w:r>
      <w:r>
        <w:rPr>
          <w:rFonts w:hint="eastAsia" w:ascii="宋体" w:hAnsi="宋体" w:eastAsia="宋体" w:cs="宋体"/>
          <w:sz w:val="24"/>
          <w:szCs w:val="24"/>
          <w:highlight w:val="none"/>
          <w:lang w:val="en-US" w:eastAsia="zh-CN"/>
        </w:rPr>
        <w:t>供应商提供</w:t>
      </w:r>
      <w:r>
        <w:rPr>
          <w:rFonts w:hint="eastAsia" w:ascii="宋体" w:hAnsi="宋体" w:eastAsia="宋体" w:cs="宋体"/>
          <w:color w:val="auto"/>
          <w:sz w:val="24"/>
          <w:szCs w:val="24"/>
          <w:highlight w:val="none"/>
          <w:lang w:val="en-US" w:eastAsia="zh-CN"/>
        </w:rPr>
        <w:t>有资质的第三方</w:t>
      </w:r>
      <w:r>
        <w:rPr>
          <w:rFonts w:hint="eastAsia" w:ascii="宋体" w:hAnsi="宋体" w:eastAsia="宋体" w:cs="宋体"/>
          <w:sz w:val="24"/>
          <w:szCs w:val="24"/>
          <w:highlight w:val="none"/>
          <w:lang w:val="en-US" w:eastAsia="zh-CN"/>
        </w:rPr>
        <w:t>单位出具的质检报告</w:t>
      </w:r>
      <w:r>
        <w:rPr>
          <w:rFonts w:hint="eastAsia" w:ascii="宋体" w:hAnsi="宋体" w:eastAsia="宋体" w:cs="宋体"/>
          <w:b w:val="0"/>
          <w:bCs w:val="0"/>
          <w:sz w:val="24"/>
          <w:szCs w:val="24"/>
          <w:highlight w:val="none"/>
          <w:lang w:val="en-US" w:eastAsia="zh-CN"/>
        </w:rPr>
        <w:t>。</w:t>
      </w:r>
    </w:p>
    <w:p w14:paraId="1E8419D0">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终验：所有货物发放完毕，正常使用10个日历日后，由采购单位进行终验（最终验收）并签字确认，合格后签发《终验合格单》。</w:t>
      </w:r>
    </w:p>
    <w:p w14:paraId="3A235112">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验收不合格的产品，乙方必须在接到通知后7个日历日内确保货物通过验收。如接到通知后7个日历日内验收仍不合格，采购单位可提出索赔或取消其供货合同。采购代理机构将把成交资格授予评审排序下一名的成交候选人。</w:t>
      </w:r>
    </w:p>
    <w:p w14:paraId="568D8CBC">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3、验收依据</w:t>
      </w:r>
    </w:p>
    <w:p w14:paraId="7040F6E2">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（1）合同文本及合同补充文件（条款）。 </w:t>
      </w:r>
    </w:p>
    <w:p w14:paraId="289CDC0F">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（2）生产厂家授权书及售后服务承诺函。</w:t>
      </w:r>
    </w:p>
    <w:p w14:paraId="6C4DDA48">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（3）招标文件。</w:t>
      </w:r>
    </w:p>
    <w:p w14:paraId="77F06E1F">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（4）投标文件。</w:t>
      </w:r>
    </w:p>
    <w:p w14:paraId="073A0AB1">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（5）合同货物清单。</w:t>
      </w:r>
    </w:p>
    <w:p w14:paraId="6FA4B610">
      <w:pPr>
        <w:pStyle w:val="4"/>
        <w:keepNext w:val="0"/>
        <w:keepLines w:val="0"/>
        <w:pageBreakBefore w:val="0"/>
        <w:widowControl w:val="0"/>
        <w:kinsoku/>
        <w:wordWrap/>
        <w:overflowPunct/>
        <w:topLinePunct w:val="0"/>
        <w:autoSpaceDE/>
        <w:autoSpaceDN/>
        <w:bidi w:val="0"/>
        <w:adjustRightInd/>
        <w:snapToGrid/>
        <w:spacing w:line="312"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（6）生产厂家的企业资质、检验报告、货物的执行标准。</w:t>
      </w:r>
    </w:p>
    <w:p w14:paraId="5FF8CA71">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十、违约责任：</w:t>
      </w:r>
    </w:p>
    <w:p w14:paraId="2275974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1、按《中华人民共和国民法典》中的相关条款执行。</w:t>
      </w:r>
    </w:p>
    <w:p w14:paraId="29A4A67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2、若乙方出现不能供货等违约情况，未按合同要求提供产品或设备质量不能满足招标的技术要求，甲方有权终止合同，并保留追究乙方违约责任的权利。</w:t>
      </w:r>
    </w:p>
    <w:p w14:paraId="0FBC38F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、因供货期迟延的，乙方按照每天1‰向甲方承担违约责任。</w:t>
      </w:r>
    </w:p>
    <w:p w14:paraId="06C884B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、因产品质量问题违约的，除了按照迟延时间计算违约金外，另可以采取退货、换货等方式，由乙方承担一切费用。</w:t>
      </w:r>
    </w:p>
    <w:p w14:paraId="6231698C">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十一、合同争议的解决：</w:t>
      </w:r>
    </w:p>
    <w:p w14:paraId="7768B059">
      <w:pPr>
        <w:tabs>
          <w:tab w:val="left" w:pos="5355"/>
        </w:tabs>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合同一经签订，不得随意变更、中止或终止。对确需变更、调整或者中止、终止合同的，应按规定履行相应的手续。</w:t>
      </w:r>
    </w:p>
    <w:p w14:paraId="71571639">
      <w:pPr>
        <w:tabs>
          <w:tab w:val="left" w:pos="5355"/>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合同执行中发生争议的，甲、乙双方应协商解决，协商达不成一致时，可向甲方所在地人民法院提请诉讼。</w:t>
      </w:r>
    </w:p>
    <w:p w14:paraId="10A9FF15">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十二、其它事项</w:t>
      </w:r>
    </w:p>
    <w:p w14:paraId="52412B01">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1、甲、乙双方作为合同执行的主体，有义务及时完全履行合同。本项目招标代理机构监督履行。</w:t>
      </w:r>
    </w:p>
    <w:p w14:paraId="082C2CAF">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、合同未尽事宜，由甲、乙双方协商，协商方案作为本合同不可分割的组成部分，与本合同具有同等法律效力。</w:t>
      </w:r>
    </w:p>
    <w:p w14:paraId="42DE987F">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和乙方的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以及合同附件均为合同不可分割的部分。</w:t>
      </w:r>
    </w:p>
    <w:p w14:paraId="45E0186B">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、合同一式陆份，甲方持肆份、乙方执</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份。双方签字盖章后生效，合同执行完毕自动失效。（合同的服务承诺长期有效）。</w:t>
      </w:r>
    </w:p>
    <w:p w14:paraId="687450E1">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收货、验货人员：____________  电话：_______________</w:t>
      </w:r>
    </w:p>
    <w:p w14:paraId="38163C20">
      <w:pPr>
        <w:rPr>
          <w:rFonts w:hint="eastAsia" w:ascii="宋体" w:hAnsi="宋体" w:eastAsia="宋体" w:cs="宋体"/>
          <w:color w:val="000000"/>
          <w:sz w:val="24"/>
          <w:szCs w:val="24"/>
          <w:highlight w:val="none"/>
        </w:rPr>
      </w:pPr>
    </w:p>
    <w:p w14:paraId="7A31C3D2">
      <w:pP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以下无正文</w:t>
      </w:r>
    </w:p>
    <w:p w14:paraId="31259778">
      <w:pP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br w:type="page"/>
      </w:r>
    </w:p>
    <w:p w14:paraId="3CD3A90D">
      <w:pPr>
        <w:pStyle w:val="8"/>
        <w:rPr>
          <w:rFonts w:hint="eastAsia" w:ascii="宋体" w:hAnsi="宋体" w:eastAsia="宋体" w:cs="宋体"/>
          <w:sz w:val="24"/>
          <w:szCs w:val="24"/>
        </w:rPr>
      </w:pPr>
    </w:p>
    <w:p w14:paraId="450A445C">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甲  方：   　                        乙  方：</w:t>
      </w:r>
      <w:r>
        <w:rPr>
          <w:rFonts w:hint="eastAsia" w:ascii="宋体" w:hAnsi="宋体" w:eastAsia="宋体" w:cs="宋体"/>
          <w:sz w:val="24"/>
          <w:szCs w:val="24"/>
          <w:highlight w:val="none"/>
        </w:rPr>
        <w:t xml:space="preserve"> </w:t>
      </w:r>
    </w:p>
    <w:p w14:paraId="75458D7B">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地　址： </w:t>
      </w:r>
    </w:p>
    <w:p w14:paraId="4CAA2475">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　　　　　　　　　　　　　 　代理人：</w:t>
      </w:r>
    </w:p>
    <w:p w14:paraId="463A14C2">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开户行：                             开户行： </w:t>
      </w:r>
    </w:p>
    <w:p w14:paraId="16937A07">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账号：                               账号：</w:t>
      </w:r>
    </w:p>
    <w:p w14:paraId="6858FCA6">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时间：                               时间：</w:t>
      </w:r>
    </w:p>
    <w:p w14:paraId="24FE705C">
      <w:pPr>
        <w:pStyle w:val="7"/>
        <w:rPr>
          <w:rFonts w:hint="eastAsia" w:ascii="宋体" w:hAnsi="宋体" w:eastAsia="宋体" w:cs="宋体"/>
          <w:sz w:val="24"/>
          <w:szCs w:val="24"/>
          <w:highlight w:val="none"/>
          <w:lang w:val="en-US" w:eastAsia="zh-Hans"/>
        </w:rPr>
      </w:pPr>
    </w:p>
    <w:p w14:paraId="1FAE18A9">
      <w:pPr>
        <w:pStyle w:val="7"/>
        <w:rPr>
          <w:rFonts w:hint="eastAsia" w:ascii="宋体" w:hAnsi="宋体" w:eastAsia="宋体" w:cs="宋体"/>
          <w:sz w:val="24"/>
          <w:szCs w:val="24"/>
          <w:lang w:val="en-US" w:eastAsia="zh-Hans"/>
        </w:rPr>
      </w:pPr>
    </w:p>
    <w:p w14:paraId="344B410D">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820FD8"/>
    <w:rsid w:val="188A6953"/>
    <w:rsid w:val="44820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Normal (Web)"/>
    <w:basedOn w:val="1"/>
    <w:qFormat/>
    <w:uiPriority w:val="0"/>
    <w:pPr>
      <w:ind w:left="120" w:right="120"/>
      <w:jc w:val="left"/>
    </w:pPr>
    <w:rPr>
      <w:kern w:val="0"/>
      <w:sz w:val="18"/>
      <w:szCs w:val="18"/>
    </w:rPr>
  </w:style>
  <w:style w:type="paragraph" w:styleId="4">
    <w:name w:val="Body Text First Indent 2"/>
    <w:basedOn w:val="2"/>
    <w:unhideWhenUsed/>
    <w:qFormat/>
    <w:uiPriority w:val="0"/>
    <w:pPr>
      <w:spacing w:after="0"/>
      <w:ind w:firstLine="420" w:firstLineChars="200"/>
    </w:pPr>
    <w:rPr>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无间隔1"/>
    <w:basedOn w:val="1"/>
    <w:qFormat/>
    <w:uiPriority w:val="99"/>
    <w:pPr>
      <w:spacing w:line="400" w:lineRule="exact"/>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2025-07-03T09:12:00Z</dcterms:created>
  <dc:creator>  </dc:creator>
  <cp:lastModifiedBy>  </cp:lastModifiedBy>
  <dcterms:modified xsi:type="dcterms:W3CDTF">2025-07-03T09:13:03Z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AC9ACDB637A743709C683472CADA8BE0_11</vt:lpwstr>
  </property>
  <property fmtid="{D5CDD505-2E9C-101B-9397-08002B2CF9AE}" pid="4" name="KSOTemplateDocerSaveRecord">
    <vt:lpwstr>eyJoZGlkIjoiMTg2YjA0ZGFkNjk4MTExYzk0ZTA0ZWUwNTg5NDI0MjciLCJ1c2VySWQiOiI1Njk1MDIwOTAifQ==</vt:lpwstr>
  </property>
</Properties>
</file>