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版本号：LZBC2025-101720250703001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消防验收达标改造项目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LZBC2025-1017</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消防验收达标改造项目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LZBC2025-1017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消防验收达标改造项目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按照《住建局建设工程消防技术指导服务函》对我校三栋楼体存在的消防问题进行改造，使其达到国家消防安全及消防验收标准，确保其消防验收合格。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采购包1（消防验收达标改造项目）：属于专门面向中小企业采购。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2、企业资质：供应商须具有消防设施工程专业承包二级及以上资质及有效的安全生产许可证</w:t>
      </w:r>
    </w:p>
    <w:p>
      <w:pPr>
        <w:pStyle w:val="null3"/>
      </w:pPr>
      <w:r>
        <w:rPr>
          <w:rFonts w:ascii="仿宋_GB2312" w:hAnsi="仿宋_GB2312" w:cs="仿宋_GB2312" w:eastAsia="仿宋_GB2312"/>
        </w:rPr>
        <w:t>3、拟派项目负责人资质和专业要求。：拟派项目经理具有机电工程专业二级及以上注册建造师证书及有效的安全生产考核合格证（建安B证），在本单位注册且未担任其他在建工程项目（无在建承诺格式自拟）</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 、较大数额罚款等行政处罚：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6、财务状况报告：财务状况报告：供应商2023年或2024年经审计的财务报告（事业法人可提供部门决算报告）或基本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王若莹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029-85237393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采购包1：2,020,900.00元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代理服务费收费标准：1、本项目采购代理服务费以成交价作为收费基数，参照计价格[2002]1 980号、发改价格[2011]534号、发改办价格〔2003〕857号中工程类执行。 2、成交单位在领取成交通知书之前，须向采购代理机构支付招标代理服务费。 招标代理服务费以转账或现金 形式缴纳至以下账户： 开户名称：龙寰项目管理咨询有限公司 开户银行：平安银行西安高新路 支行账号：30201278017099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西安市第八十五中学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2,020,900.00</w:t>
      </w:r>
    </w:p>
    <w:p>
      <w:pPr>
        <w:pStyle w:val="null3"/>
      </w:pPr>
      <w:r>
        <w:rPr>
          <w:rFonts w:ascii="仿宋_GB2312" w:hAnsi="仿宋_GB2312" w:cs="仿宋_GB2312" w:eastAsia="仿宋_GB2312"/>
        </w:rPr>
        <w:t>采购包最高限价（元）: 2,020,546.83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2,020,900.00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1、项目概况：西安市第八十五中学消防验收达标改造项目，工程内容包括：综合办公楼（男生公寓）、女宿舍楼、风雨操场及室外工程中消防水电完善工作，以及相应的土建、装饰装修工作。</w:t>
            </w:r>
          </w:p>
          <w:p>
            <w:pPr>
              <w:pStyle w:val="null3"/>
              <w:jc w:val="both"/>
            </w:pPr>
            <w:r>
              <w:rPr>
                <w:rFonts w:ascii="仿宋_GB2312" w:hAnsi="仿宋_GB2312" w:cs="仿宋_GB2312" w:eastAsia="仿宋_GB2312"/>
              </w:rPr>
              <w:t>2、项目地址：西安市雁塔区翠华南路254号。</w:t>
            </w:r>
          </w:p>
          <w:p>
            <w:pPr>
              <w:pStyle w:val="null3"/>
              <w:jc w:val="both"/>
            </w:pPr>
            <w:r>
              <w:rPr>
                <w:rFonts w:ascii="仿宋_GB2312" w:hAnsi="仿宋_GB2312" w:cs="仿宋_GB2312" w:eastAsia="仿宋_GB2312"/>
              </w:rPr>
              <w:t>二、编制范围：</w:t>
            </w:r>
          </w:p>
          <w:p>
            <w:pPr>
              <w:pStyle w:val="null3"/>
              <w:jc w:val="both"/>
            </w:pPr>
            <w:r>
              <w:rPr>
                <w:rFonts w:ascii="仿宋_GB2312" w:hAnsi="仿宋_GB2312" w:cs="仿宋_GB2312" w:eastAsia="仿宋_GB2312"/>
              </w:rPr>
              <w:t>本项目招标限价根据施工图纸进行编制，施工图未尽事宜按照现场具体要求，具体详见其他说明。</w:t>
            </w:r>
          </w:p>
          <w:p>
            <w:pPr>
              <w:pStyle w:val="null3"/>
              <w:jc w:val="both"/>
            </w:pPr>
            <w:r>
              <w:rPr>
                <w:rFonts w:ascii="仿宋_GB2312" w:hAnsi="仿宋_GB2312" w:cs="仿宋_GB2312" w:eastAsia="仿宋_GB2312"/>
              </w:rPr>
              <w:t>三、编制依据：</w:t>
            </w:r>
          </w:p>
          <w:p>
            <w:pPr>
              <w:pStyle w:val="null3"/>
              <w:jc w:val="both"/>
            </w:pPr>
            <w:r>
              <w:rPr>
                <w:rFonts w:ascii="仿宋_GB2312" w:hAnsi="仿宋_GB2312" w:cs="仿宋_GB2312" w:eastAsia="仿宋_GB2312"/>
              </w:rPr>
              <w:t>1、《陕西省建设工程工程量清单计价规则》（2009）及其配套计价文件；</w:t>
            </w:r>
          </w:p>
          <w:p>
            <w:pPr>
              <w:pStyle w:val="null3"/>
              <w:jc w:val="both"/>
            </w:pPr>
            <w:r>
              <w:rPr>
                <w:rFonts w:ascii="仿宋_GB2312" w:hAnsi="仿宋_GB2312" w:cs="仿宋_GB2312" w:eastAsia="仿宋_GB2312"/>
              </w:rPr>
              <w:t>2、与建设工程项目有关的标准、规范、技术资料；</w:t>
            </w:r>
          </w:p>
          <w:p>
            <w:pPr>
              <w:pStyle w:val="null3"/>
              <w:jc w:val="both"/>
            </w:pPr>
            <w:r>
              <w:rPr>
                <w:rFonts w:ascii="仿宋_GB2312" w:hAnsi="仿宋_GB2312" w:cs="仿宋_GB2312" w:eastAsia="仿宋_GB2312"/>
              </w:rPr>
              <w:t>3、采购文件中对工程量清单编制的相关要求；</w:t>
            </w:r>
          </w:p>
          <w:p>
            <w:pPr>
              <w:pStyle w:val="null3"/>
              <w:jc w:val="both"/>
            </w:pPr>
            <w:r>
              <w:rPr>
                <w:rFonts w:ascii="仿宋_GB2312" w:hAnsi="仿宋_GB2312" w:cs="仿宋_GB2312" w:eastAsia="仿宋_GB2312"/>
              </w:rPr>
              <w:t>4、现场情况及常规的施工组织及方案；</w:t>
            </w:r>
          </w:p>
          <w:p>
            <w:pPr>
              <w:pStyle w:val="null3"/>
              <w:jc w:val="both"/>
            </w:pPr>
            <w:r>
              <w:rPr>
                <w:rFonts w:ascii="仿宋_GB2312" w:hAnsi="仿宋_GB2312" w:cs="仿宋_GB2312" w:eastAsia="仿宋_GB2312"/>
              </w:rPr>
              <w:t>5、本工程计价程序执行陕建发【2019】45号文件、扬尘治理专项措施费执行陕建发【2017】270号文件、建筑工人实名制管理费执行陕建发【2019】1246号文件、建筑施工安全生产责任保险费用执行陕建发【2020】1097号文件、养老保险执行陕建发【2021】1021号文件，人工单价执行【2021】1097号文件，其他规费按现行《计价规则》及配套计价文件计取；</w:t>
            </w:r>
          </w:p>
          <w:p>
            <w:pPr>
              <w:pStyle w:val="null3"/>
              <w:jc w:val="both"/>
            </w:pPr>
            <w:r>
              <w:rPr>
                <w:rFonts w:ascii="仿宋_GB2312" w:hAnsi="仿宋_GB2312" w:cs="仿宋_GB2312" w:eastAsia="仿宋_GB2312"/>
              </w:rPr>
              <w:t>6、工程量清单计价软件使用“广联达云计价平台GCCP6.0-6.4100.23.122”。</w:t>
            </w:r>
          </w:p>
          <w:p>
            <w:pPr>
              <w:pStyle w:val="null3"/>
              <w:jc w:val="both"/>
            </w:pPr>
            <w:r>
              <w:rPr>
                <w:rFonts w:ascii="仿宋_GB2312" w:hAnsi="仿宋_GB2312" w:cs="仿宋_GB2312" w:eastAsia="仿宋_GB2312"/>
              </w:rPr>
              <w:t>四、其他说明：</w:t>
            </w:r>
          </w:p>
          <w:p>
            <w:pPr>
              <w:pStyle w:val="null3"/>
              <w:jc w:val="both"/>
            </w:pPr>
            <w:r>
              <w:rPr>
                <w:rFonts w:ascii="仿宋_GB2312" w:hAnsi="仿宋_GB2312" w:cs="仿宋_GB2312" w:eastAsia="仿宋_GB2312"/>
              </w:rPr>
              <w:t>1、女生宿舍楼二层新增的配电箱2ALE电源电缆NH-YJV-5x4-SC20，长度根据设计意见按照10米计入；</w:t>
            </w:r>
          </w:p>
          <w:p>
            <w:pPr>
              <w:pStyle w:val="null3"/>
              <w:jc w:val="both"/>
            </w:pPr>
            <w:r>
              <w:rPr>
                <w:rFonts w:ascii="仿宋_GB2312" w:hAnsi="仿宋_GB2312" w:cs="仿宋_GB2312" w:eastAsia="仿宋_GB2312"/>
              </w:rPr>
              <w:t>2、男生宿舍新增双电源箱备电电源引自10KW的EPS，电缆规格按照主电同规格；</w:t>
            </w:r>
          </w:p>
          <w:p>
            <w:pPr>
              <w:pStyle w:val="null3"/>
              <w:jc w:val="both"/>
            </w:pPr>
            <w:r>
              <w:rPr>
                <w:rFonts w:ascii="仿宋_GB2312" w:hAnsi="仿宋_GB2312" w:cs="仿宋_GB2312" w:eastAsia="仿宋_GB2312"/>
              </w:rPr>
              <w:t>3、室外工程每根电缆进入单体建筑外墙后预留长度为：水泵房内预留50米，男生宿舍预留20米，艺体中心内预留50米，立德楼内预留50米；</w:t>
            </w:r>
          </w:p>
          <w:p>
            <w:pPr>
              <w:pStyle w:val="null3"/>
              <w:jc w:val="both"/>
            </w:pPr>
            <w:r>
              <w:rPr>
                <w:rFonts w:ascii="仿宋_GB2312" w:hAnsi="仿宋_GB2312" w:cs="仿宋_GB2312" w:eastAsia="仿宋_GB2312"/>
              </w:rPr>
              <w:t>4、室外工程消防报警电缆进入采用消防桥架敷设，桥架按照敷设在立德楼1层考虑；</w:t>
            </w:r>
          </w:p>
          <w:p>
            <w:pPr>
              <w:pStyle w:val="null3"/>
              <w:jc w:val="both"/>
            </w:pPr>
            <w:r>
              <w:rPr>
                <w:rFonts w:ascii="仿宋_GB2312" w:hAnsi="仿宋_GB2312" w:cs="仿宋_GB2312" w:eastAsia="仿宋_GB2312"/>
              </w:rPr>
              <w:t>5、接消控室消防专用信息口的网络线引自室外上级消防控制中心，工程量暂按100米计入；</w:t>
            </w:r>
          </w:p>
          <w:p>
            <w:pPr>
              <w:pStyle w:val="null3"/>
              <w:jc w:val="both"/>
            </w:pPr>
            <w:r>
              <w:rPr>
                <w:rFonts w:ascii="仿宋_GB2312" w:hAnsi="仿宋_GB2312" w:cs="仿宋_GB2312" w:eastAsia="仿宋_GB2312"/>
              </w:rPr>
              <w:t>6、接消控室119专线电话的电话线HPV-2x0.5引自室外上级消防控制中心，工程量暂按100米计入；</w:t>
            </w:r>
          </w:p>
          <w:p>
            <w:pPr>
              <w:pStyle w:val="null3"/>
              <w:jc w:val="both"/>
            </w:pPr>
            <w:r>
              <w:rPr>
                <w:rFonts w:ascii="仿宋_GB2312" w:hAnsi="仿宋_GB2312" w:cs="仿宋_GB2312" w:eastAsia="仿宋_GB2312"/>
              </w:rPr>
              <w:t>7、双电源箱APExf电源电缆在箱变内预留20米；</w:t>
            </w:r>
          </w:p>
          <w:p>
            <w:pPr>
              <w:pStyle w:val="null3"/>
              <w:jc w:val="both"/>
            </w:pPr>
            <w:r>
              <w:rPr>
                <w:rFonts w:ascii="仿宋_GB2312" w:hAnsi="仿宋_GB2312" w:cs="仿宋_GB2312" w:eastAsia="仿宋_GB2312"/>
              </w:rPr>
              <w:t>8、消防报警设备品牌按照北大青鸟；</w:t>
            </w:r>
          </w:p>
          <w:p>
            <w:pPr>
              <w:pStyle w:val="null3"/>
              <w:jc w:val="both"/>
            </w:pPr>
            <w:r>
              <w:rPr>
                <w:rFonts w:ascii="仿宋_GB2312" w:hAnsi="仿宋_GB2312" w:cs="仿宋_GB2312" w:eastAsia="仿宋_GB2312"/>
              </w:rPr>
              <w:t>9、通行车辆路面检修手孔井做法见图集07SD101-8，P121。</w:t>
            </w:r>
          </w:p>
          <w:p>
            <w:pPr>
              <w:pStyle w:val="null3"/>
              <w:jc w:val="both"/>
            </w:pPr>
            <w:r>
              <w:rPr>
                <w:rFonts w:ascii="仿宋_GB2312" w:hAnsi="仿宋_GB2312" w:cs="仿宋_GB2312" w:eastAsia="仿宋_GB2312"/>
              </w:rPr>
              <w:t>五、工期：合同签订后40日历日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（二）需要落实的政府采购政策：1、《国务院办公厅关于建立政府强制采购节能产品制度的通知》（国办发〔2007〕51号）2、《财政部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（三）本项目为综合单价合同，最终固定单价以最终总报价/首次总报价的比例等比例下浮。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供应商须具有消防设施工程专业承包二级及以上资质及有效的安全生产许可证</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拟派项目经理具有机电工程专业二级及以上注册建造师证书及有效的安全生产考核合格证（建安B证），在本单位注册且未担任其他在建工程项目（无在建承诺格式自拟）</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内容无重大缺漏项，报价唯一，且没有超过采购预算或最高限价</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针对本项目提供科学、可行、合理的总体施工组织布置及规划。总体施工组织布置及规划科学、合理、可行得10分；基本科学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 施工方案、方法与技术措施科学、合理、可行得10分；基本科学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 质量保证体系及措施 科学、合理、可行得5分；质量保证体系及措施较科学、较合理、 较可行得3分；质量保证体系及措施含糊不清、欠缺可行性得1分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 安全保证措施科学、合理、可行得5分；安全保证措施较科学、较合理、较可行得3分；安全保证措施含糊不清、欠缺可行性得1分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项目进度计划和工期目标科学、合理、可行得5分；项目进度计划和工期目标科学、合理性一般、可行性一般得3分；项目进度计划和工期目标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 项目风险预测与防范，事故应急预案科学、合理、可行得5分；项目风险预测与防范，事故应急预案较科学、较合理、较可行得 3分；项目风险预测与防范，事故应急预案含糊不清、欠缺可行性得1分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拟投入本项目主要机具、设备和劳动力配置情况，磋商小组根据拟投入本项目设备情况综合评审自主打分。 拟投入的主要机具、设备和劳动力十分充足、充分满足项目需要得10分；拟投入的主要机具、设备和劳动力充足、能满足项目需要得8分；拟投入的主要机具、设备和劳动力较充足、基本满足项目需要得6分；拟投入的主要机具、设备和劳动力数量一般、勉强满足项目需要得4分；拟投入的主要机具、设备和劳动力数量较少、满足项目需要存在困难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质量保修承诺完整、科学、合理、可行得5分；质量保修承诺较完整、较科学、较合理、较可行得3分；质量保修承诺笼统、欠缺可行性得1分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后续服务措施承诺具体、详细、可行得5分；后续服务措施承诺较 具体、较详细、较可行得3分；后续服务措施承诺笼统、欠缺可行性得1分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2022年6月1日以来承接过类似项目的合同证明（以合同的签订日期为准）（每提供一个得2分，满分1 0分）（提供加盖公章的合同关键页复印件）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 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详见附件：拟签订采购合同文本--固定单价.docx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