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版本号：0617--2521FZ157320250703001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初中学业水平考试信息技术综合服务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0617--2521FZ1573</w:t>
      </w:r>
      <w:r>
        <w:br/>
      </w:r>
      <w:r>
        <w:br/>
      </w:r>
      <w:r>
        <w:br/>
      </w:r>
    </w:p>
    <w:p>
      <w:pPr>
        <w:pStyle w:val="null3"/>
        <w:jc w:val="center"/>
        <w:outlineLvl w:val="2"/>
      </w:pPr>
      <w:r>
        <w:rPr>
          <w:rFonts w:ascii="仿宋_GB2312" w:hAnsi="仿宋_GB2312" w:cs="仿宋_GB2312" w:eastAsia="仿宋_GB2312"/>
          <w:sz w:val="28"/>
          <w:b/>
        </w:rPr>
        <w:t>西安市教育考试中心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西安市教育考试中心</w:t>
      </w:r>
      <w:r>
        <w:rPr>
          <w:rFonts w:ascii="仿宋_GB2312" w:hAnsi="仿宋_GB2312" w:cs="仿宋_GB2312" w:eastAsia="仿宋_GB2312"/>
        </w:rPr>
        <w:t>委托，拟对</w:t>
      </w:r>
      <w:r>
        <w:rPr>
          <w:rFonts w:ascii="仿宋_GB2312" w:hAnsi="仿宋_GB2312" w:cs="仿宋_GB2312" w:eastAsia="仿宋_GB2312"/>
        </w:rPr>
        <w:t>初中学业水平考试信息技术综合服务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0617--2521FZ1573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初中学业水平考试信息技术综合服务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详见第三章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采购包1（初中学业水平考试信息技术保障服务）：属于专门面向中小企业采购。</w:t>
      </w:r>
    </w:p>
    <w:p>
      <w:pPr>
        <w:pStyle w:val="null3"/>
      </w:pPr>
      <w:r>
        <w:rPr>
          <w:rFonts w:ascii="仿宋_GB2312" w:hAnsi="仿宋_GB2312" w:cs="仿宋_GB2312" w:eastAsia="仿宋_GB2312"/>
        </w:rPr>
        <w:t>采购包2（安全防护服务）：属于专门面向中小企业采购。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文艺南路194号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87894475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崔浩、宋鹏飞、张喆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029-85239900、89651851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采购包1：1,029,490.00元</w:t>
            </w:r>
          </w:p>
          <w:p>
            <w:pPr>
              <w:pStyle w:val="null3"/>
            </w:pPr>
            <w:r>
              <w:rPr>
                <w:rFonts w:ascii="仿宋_GB2312" w:hAnsi="仿宋_GB2312" w:cs="仿宋_GB2312" w:eastAsia="仿宋_GB2312"/>
              </w:rPr>
              <w:t>采购包2：315,000.00元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代理服务费收费标准：按国家标准（国家计委计价格[2002]1980号）收取，不足2000元按2000元收取。 开户名称：西北（陕西）国际招标有限公司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西安市教育考试中心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按照合同具体约定。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按照合同具体约定。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详见第三章 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1,029,490.00</w:t>
      </w:r>
    </w:p>
    <w:p>
      <w:pPr>
        <w:pStyle w:val="null3"/>
      </w:pPr>
      <w:r>
        <w:rPr>
          <w:rFonts w:ascii="仿宋_GB2312" w:hAnsi="仿宋_GB2312" w:cs="仿宋_GB2312" w:eastAsia="仿宋_GB2312"/>
        </w:rPr>
        <w:t>采购包最高限价（元）: 1,029,490.00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日常运维和功能完善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1,029,490.00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315,000.00</w:t>
      </w:r>
    </w:p>
    <w:p>
      <w:pPr>
        <w:pStyle w:val="null3"/>
      </w:pPr>
      <w:r>
        <w:rPr>
          <w:rFonts w:ascii="仿宋_GB2312" w:hAnsi="仿宋_GB2312" w:cs="仿宋_GB2312" w:eastAsia="仿宋_GB2312"/>
        </w:rPr>
        <w:t>采购包最高限价（元）: 315,000.00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安全防护服务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标的名称：日常运维和功能完善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▲一、概况</w:t>
            </w:r>
          </w:p>
          <w:p>
            <w:pPr>
              <w:pStyle w:val="null3"/>
            </w:pPr>
            <w:r>
              <w:rPr>
                <w:rFonts w:ascii="仿宋_GB2312" w:hAnsi="仿宋_GB2312" w:cs="仿宋_GB2312" w:eastAsia="仿宋_GB2312"/>
                <w:sz w:val="20"/>
              </w:rPr>
              <w:t>1.名称：初中学业水平考试信息技术保障服务</w:t>
            </w:r>
          </w:p>
          <w:p>
            <w:pPr>
              <w:pStyle w:val="null3"/>
            </w:pPr>
            <w:r>
              <w:rPr>
                <w:rFonts w:ascii="仿宋_GB2312" w:hAnsi="仿宋_GB2312" w:cs="仿宋_GB2312" w:eastAsia="仿宋_GB2312"/>
                <w:sz w:val="20"/>
              </w:rPr>
              <w:t>2.预算金额：102.949万（壹佰零贰万玖仟肆佰玖拾元）</w:t>
            </w:r>
          </w:p>
          <w:p>
            <w:pPr>
              <w:pStyle w:val="null3"/>
            </w:pPr>
            <w:r>
              <w:rPr>
                <w:rFonts w:ascii="仿宋_GB2312" w:hAnsi="仿宋_GB2312" w:cs="仿宋_GB2312" w:eastAsia="仿宋_GB2312"/>
                <w:sz w:val="20"/>
              </w:rPr>
              <w:t>3.背景情况</w:t>
            </w:r>
          </w:p>
          <w:p>
            <w:pPr>
              <w:pStyle w:val="null3"/>
            </w:pPr>
            <w:r>
              <w:rPr>
                <w:rFonts w:ascii="仿宋_GB2312" w:hAnsi="仿宋_GB2312" w:cs="仿宋_GB2312" w:eastAsia="仿宋_GB2312"/>
                <w:sz w:val="20"/>
              </w:rPr>
              <w:t>初中学业水平考试招生管理平台通过信息化方式，全面提升全市中招工作的科学化、标准化、精细化管理水平，确保我市普通高中招生工作“阳光招生、公平公正、科学规范”。</w:t>
            </w:r>
          </w:p>
          <w:p>
            <w:pPr>
              <w:pStyle w:val="null3"/>
            </w:pPr>
            <w:r>
              <w:rPr>
                <w:rFonts w:ascii="仿宋_GB2312" w:hAnsi="仿宋_GB2312" w:cs="仿宋_GB2312" w:eastAsia="仿宋_GB2312"/>
                <w:sz w:val="20"/>
              </w:rPr>
              <w:t>中考改革后，全省统一组织的笔试考试要求考生在八年级期末参加2门考试，在九年级期末参加其他7科考试，9科文化课加体育考试在毕业时统一以分数和等级方式并列呈现，作为毕业和升学的基本依据；同时对信息技术考试、实验操作考试、综合素质评价等提出了具体的要求。总而言之，新的中考考生的成绩出自不同的年份、不同的部门，对考试招生部门原有的工作模式和平台都提出了新的要求。</w:t>
            </w:r>
          </w:p>
          <w:p>
            <w:pPr>
              <w:pStyle w:val="null3"/>
            </w:pPr>
            <w:r>
              <w:rPr>
                <w:rFonts w:ascii="仿宋_GB2312" w:hAnsi="仿宋_GB2312" w:cs="仿宋_GB2312" w:eastAsia="仿宋_GB2312"/>
                <w:sz w:val="20"/>
              </w:rPr>
              <w:t>我市高中阶段学校招生录取工作所使用的“西安市初中学业水平考试招生管理平台”，贯穿每年中考各项工作流程，实现考生网上报名、考籍管理、联审联查、招生计划管理、特长生管理、体育考试成绩管理、网上志愿填报、网上远程录取以及各类考务表单打印、数据下载等功能。市教育局根据国家有关招生政策的变化和工作需要，每年都会对“西安市初中学业水平考试招生管理平台”提出改进和新增功能。“西安市初中学业水平考试招生管理平台”需要对原有功能模块进行更新维护，并在每年度网上报名、网上填报志愿和远程网上录取工作期间由技术服务公司提供驻点技术保障和维护服务。</w:t>
            </w:r>
          </w:p>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具体服务内容包括：日常运维和功能完善。其中:</w:t>
            </w:r>
          </w:p>
          <w:p>
            <w:pPr>
              <w:pStyle w:val="null3"/>
            </w:pPr>
            <w:r>
              <w:rPr>
                <w:rFonts w:ascii="仿宋_GB2312" w:hAnsi="仿宋_GB2312" w:cs="仿宋_GB2312" w:eastAsia="仿宋_GB2312"/>
                <w:sz w:val="20"/>
              </w:rPr>
              <w:t>1.日常运维</w:t>
            </w:r>
          </w:p>
          <w:p>
            <w:pPr>
              <w:pStyle w:val="null3"/>
            </w:pPr>
            <w:r>
              <w:rPr>
                <w:rFonts w:ascii="仿宋_GB2312" w:hAnsi="仿宋_GB2312" w:cs="仿宋_GB2312" w:eastAsia="仿宋_GB2312"/>
                <w:sz w:val="20"/>
              </w:rPr>
              <w:t>1.1.模块运维</w:t>
            </w:r>
          </w:p>
          <w:p>
            <w:pPr>
              <w:pStyle w:val="null3"/>
            </w:pPr>
            <w:r>
              <w:rPr>
                <w:rFonts w:ascii="仿宋_GB2312" w:hAnsi="仿宋_GB2312" w:cs="仿宋_GB2312" w:eastAsia="仿宋_GB2312"/>
                <w:sz w:val="20"/>
              </w:rPr>
              <w:t>（1）对原平台进行日常维护</w:t>
            </w:r>
          </w:p>
          <w:p>
            <w:pPr>
              <w:pStyle w:val="null3"/>
            </w:pPr>
            <w:r>
              <w:rPr>
                <w:rFonts w:ascii="仿宋_GB2312" w:hAnsi="仿宋_GB2312" w:cs="仿宋_GB2312" w:eastAsia="仿宋_GB2312"/>
                <w:sz w:val="20"/>
              </w:rPr>
              <w:t>服务内容包括报名、考务、计划、联审联查、成绩查询、志愿填报、录取等阶段性工作前对初中学业水平考试招生管理平台的调试、维护；网上报名驻点服务、考场编排驻点服务、联审联查驻点服务、志愿填报驻点服务、成绩查询驻点服务、城六区招生驻点服务六个方面共计约40天。协助中心处理八年级、九年级文化课成绩、体育成绩、政策照顾、小语种考试、综合素质、理化生信等信息汇总，各种统计表格和成绩册、通知单打印。</w:t>
            </w:r>
          </w:p>
          <w:p>
            <w:pPr>
              <w:pStyle w:val="null3"/>
            </w:pPr>
            <w:r>
              <w:rPr>
                <w:rFonts w:ascii="仿宋_GB2312" w:hAnsi="仿宋_GB2312" w:cs="仿宋_GB2312" w:eastAsia="仿宋_GB2312"/>
                <w:sz w:val="20"/>
              </w:rPr>
              <w:t>（2）中招艺体特长生管理子系统维护</w:t>
            </w:r>
          </w:p>
          <w:p>
            <w:pPr>
              <w:pStyle w:val="null3"/>
            </w:pPr>
            <w:r>
              <w:rPr>
                <w:rFonts w:ascii="仿宋_GB2312" w:hAnsi="仿宋_GB2312" w:cs="仿宋_GB2312" w:eastAsia="仿宋_GB2312"/>
                <w:sz w:val="20"/>
              </w:rPr>
              <w:t>运行维护中招艺体特长生管理子系统，确保中考体育艺术特长生报名、签约、报志愿工作正常进行。</w:t>
            </w:r>
          </w:p>
          <w:p>
            <w:pPr>
              <w:pStyle w:val="null3"/>
            </w:pPr>
            <w:r>
              <w:rPr>
                <w:rFonts w:ascii="仿宋_GB2312" w:hAnsi="仿宋_GB2312" w:cs="仿宋_GB2312" w:eastAsia="仿宋_GB2312"/>
                <w:sz w:val="20"/>
              </w:rPr>
              <w:t>（3）联审联查子系统维护</w:t>
            </w:r>
          </w:p>
          <w:p>
            <w:pPr>
              <w:pStyle w:val="null3"/>
            </w:pPr>
            <w:r>
              <w:rPr>
                <w:rFonts w:ascii="仿宋_GB2312" w:hAnsi="仿宋_GB2312" w:cs="仿宋_GB2312" w:eastAsia="仿宋_GB2312"/>
                <w:sz w:val="20"/>
              </w:rPr>
              <w:t>针对2024年开发的联审联查子系统进行维护保障，为2025年中考联审联查工作提供技术支撑。</w:t>
            </w:r>
          </w:p>
          <w:p>
            <w:pPr>
              <w:pStyle w:val="null3"/>
            </w:pPr>
            <w:r>
              <w:rPr>
                <w:rFonts w:ascii="仿宋_GB2312" w:hAnsi="仿宋_GB2312" w:cs="仿宋_GB2312" w:eastAsia="仿宋_GB2312"/>
                <w:sz w:val="20"/>
              </w:rPr>
              <w:t>（4）成绩查询系统和录取结果查询系统升级维护</w:t>
            </w:r>
          </w:p>
          <w:p>
            <w:pPr>
              <w:pStyle w:val="null3"/>
            </w:pPr>
            <w:r>
              <w:rPr>
                <w:rFonts w:ascii="仿宋_GB2312" w:hAnsi="仿宋_GB2312" w:cs="仿宋_GB2312" w:eastAsia="仿宋_GB2312"/>
                <w:sz w:val="20"/>
              </w:rPr>
              <w:t>对原有成绩查询系统和录取结果查询系统进行升级维护。重点包括：提升查询系统的界面辨识度，通过统一视觉风格与官方标识强化系统权威性；同时优化后台数据库结构，提升查询响应速度与并发访问能力；增强数据和日志防伪，保证数据的一致性和访问的可溯性，从而全面提升两个查询系统的安全性、可靠性与用户体验。</w:t>
            </w:r>
          </w:p>
          <w:p>
            <w:pPr>
              <w:pStyle w:val="null3"/>
            </w:pPr>
            <w:r>
              <w:rPr>
                <w:rFonts w:ascii="仿宋_GB2312" w:hAnsi="仿宋_GB2312" w:cs="仿宋_GB2312" w:eastAsia="仿宋_GB2312"/>
                <w:sz w:val="20"/>
              </w:rPr>
              <w:t>1.2.数据运维</w:t>
            </w:r>
          </w:p>
          <w:p>
            <w:pPr>
              <w:pStyle w:val="null3"/>
            </w:pPr>
            <w:r>
              <w:rPr>
                <w:rFonts w:ascii="仿宋_GB2312" w:hAnsi="仿宋_GB2312" w:cs="仿宋_GB2312" w:eastAsia="仿宋_GB2312"/>
                <w:sz w:val="20"/>
              </w:rPr>
              <w:t>（1）防伪成绩通知单制作及技术支持</w:t>
            </w:r>
          </w:p>
          <w:p>
            <w:pPr>
              <w:pStyle w:val="null3"/>
            </w:pPr>
            <w:r>
              <w:rPr>
                <w:rFonts w:ascii="仿宋_GB2312" w:hAnsi="仿宋_GB2312" w:cs="仿宋_GB2312" w:eastAsia="仿宋_GB2312"/>
                <w:sz w:val="20"/>
              </w:rPr>
              <w:t>采用激光打印机和专用防伪纸张，增加加密字符和防伪二维码，提高成绩条真伪辨识度和伪造、篡改难度，打印考生成绩单包含初中八年级考生成绩单和九年级考生成绩单。</w:t>
            </w:r>
          </w:p>
          <w:p>
            <w:pPr>
              <w:pStyle w:val="null3"/>
            </w:pPr>
            <w:r>
              <w:rPr>
                <w:rFonts w:ascii="仿宋_GB2312" w:hAnsi="仿宋_GB2312" w:cs="仿宋_GB2312" w:eastAsia="仿宋_GB2312"/>
                <w:sz w:val="20"/>
              </w:rPr>
              <w:t>（2）初中学业水平试卷质量统计分析服务</w:t>
            </w:r>
          </w:p>
          <w:p>
            <w:pPr>
              <w:pStyle w:val="null3"/>
            </w:pPr>
            <w:r>
              <w:rPr>
                <w:rFonts w:ascii="仿宋_GB2312" w:hAnsi="仿宋_GB2312" w:cs="仿宋_GB2312" w:eastAsia="仿宋_GB2312"/>
                <w:sz w:val="20"/>
              </w:rPr>
              <w:t>①统计分析各学科试卷信息：参加考试总人数、不同分数段人数和比例、平均分、标准差、最高分、最低分、优秀率、良好率、及格率、区分度、效度、信度等，并出具分析报告。</w:t>
            </w:r>
          </w:p>
          <w:p>
            <w:pPr>
              <w:pStyle w:val="null3"/>
            </w:pPr>
            <w:r>
              <w:rPr>
                <w:rFonts w:ascii="仿宋_GB2312" w:hAnsi="仿宋_GB2312" w:cs="仿宋_GB2312" w:eastAsia="仿宋_GB2312"/>
                <w:sz w:val="20"/>
              </w:rPr>
              <w:t>②统计分析各学科试题信息：各试题平均分、最高分、最低分、得分率、满分率、零分率、实测难度和区分度；选择题各选项选择人数比例、非选择题典型答案的案例等，并出具分析报告。</w:t>
            </w:r>
          </w:p>
          <w:p>
            <w:pPr>
              <w:pStyle w:val="null3"/>
            </w:pPr>
            <w:r>
              <w:rPr>
                <w:rFonts w:ascii="仿宋_GB2312" w:hAnsi="仿宋_GB2312" w:cs="仿宋_GB2312" w:eastAsia="仿宋_GB2312"/>
                <w:sz w:val="20"/>
              </w:rPr>
              <w:t>（3）平台迁移</w:t>
            </w:r>
          </w:p>
          <w:p>
            <w:pPr>
              <w:pStyle w:val="null3"/>
            </w:pPr>
            <w:r>
              <w:rPr>
                <w:rFonts w:ascii="仿宋_GB2312" w:hAnsi="仿宋_GB2312" w:cs="仿宋_GB2312" w:eastAsia="仿宋_GB2312"/>
                <w:sz w:val="20"/>
              </w:rPr>
              <w:t>由于原有系统平台所在服务器使用时间达到10年以上，服务系性能严重下降，从而影响系统的运行效率和性能，所以将初中学业水平考试招生管理平台迁移至新服务器，包括基础数据迁移、数据库扩充程序集升级、数据库存储过程迁移优化、数据导出迁移、功能测试等。对数据库升级调整，从而提高数据库的读取速率，提升系统平台的整体运行效能。</w:t>
            </w:r>
          </w:p>
          <w:p>
            <w:pPr>
              <w:pStyle w:val="null3"/>
            </w:pPr>
            <w:r>
              <w:rPr>
                <w:rFonts w:ascii="仿宋_GB2312" w:hAnsi="仿宋_GB2312" w:cs="仿宋_GB2312" w:eastAsia="仿宋_GB2312"/>
                <w:sz w:val="20"/>
              </w:rPr>
              <w:t>2.功能完善</w:t>
            </w:r>
          </w:p>
          <w:p>
            <w:pPr>
              <w:pStyle w:val="null3"/>
            </w:pPr>
            <w:r>
              <w:rPr>
                <w:rFonts w:ascii="仿宋_GB2312" w:hAnsi="仿宋_GB2312" w:cs="仿宋_GB2312" w:eastAsia="仿宋_GB2312"/>
                <w:sz w:val="20"/>
              </w:rPr>
              <w:t>按照省教育厅关于开展综合高中班试点工作要求以及西安市教育局《关于印发西安市2024年高中阶段学校招生录取工作方案的通知》，西安市遴选部分中职学校与第二批次省级标准化高中（含普通高中）志愿不含市级特色示范高中招生单元普通高中试点开设综合高中班，其招生录取工作纳入全市普通高中招生录取平台，招生区域、招生对象、志愿填报时间等与试点中职学校所在招生单元的普通高中一致，达到所在招生单元普通高中录取最低控制线的考生，可填报试点综合高中班志愿。因此需要对现有中招录取平台新增高中班录取功能模块，使平台能够满足业务需求，完成综合高中班录取工作。具体涉及细化模块如下：</w:t>
            </w:r>
          </w:p>
          <w:p>
            <w:pPr>
              <w:pStyle w:val="null3"/>
            </w:pPr>
            <w:r>
              <w:rPr>
                <w:rFonts w:ascii="仿宋_GB2312" w:hAnsi="仿宋_GB2312" w:cs="仿宋_GB2312" w:eastAsia="仿宋_GB2312"/>
                <w:sz w:val="20"/>
              </w:rPr>
              <w:t>（1）计划管理</w:t>
            </w:r>
          </w:p>
          <w:p>
            <w:pPr>
              <w:pStyle w:val="null3"/>
            </w:pPr>
            <w:r>
              <w:rPr>
                <w:rFonts w:ascii="仿宋_GB2312" w:hAnsi="仿宋_GB2312" w:cs="仿宋_GB2312" w:eastAsia="仿宋_GB2312"/>
                <w:sz w:val="20"/>
              </w:rPr>
              <w:t>涉及调整功能模块：招生学校管理、查询、定向分解区县、定向分解学校、特长生专业计划分解、统计、打印与下载、上传计划、征集志愿学校设置、招生学校参数、设置学校科目等功能。</w:t>
            </w:r>
          </w:p>
          <w:p>
            <w:pPr>
              <w:pStyle w:val="null3"/>
            </w:pPr>
            <w:r>
              <w:rPr>
                <w:rFonts w:ascii="仿宋_GB2312" w:hAnsi="仿宋_GB2312" w:cs="仿宋_GB2312" w:eastAsia="仿宋_GB2312"/>
                <w:sz w:val="20"/>
              </w:rPr>
              <w:t>（2）志愿管理</w:t>
            </w:r>
          </w:p>
          <w:p>
            <w:pPr>
              <w:pStyle w:val="null3"/>
            </w:pPr>
            <w:r>
              <w:rPr>
                <w:rFonts w:ascii="仿宋_GB2312" w:hAnsi="仿宋_GB2312" w:cs="仿宋_GB2312" w:eastAsia="仿宋_GB2312"/>
                <w:sz w:val="20"/>
              </w:rPr>
              <w:t>涉及调整功能模块：检查与设置、查询志愿、编辑志愿、查询考生日志、志愿状态统计、数据下载、志愿统计等功能。</w:t>
            </w:r>
          </w:p>
          <w:p>
            <w:pPr>
              <w:pStyle w:val="null3"/>
            </w:pPr>
            <w:r>
              <w:rPr>
                <w:rFonts w:ascii="仿宋_GB2312" w:hAnsi="仿宋_GB2312" w:cs="仿宋_GB2312" w:eastAsia="仿宋_GB2312"/>
                <w:sz w:val="20"/>
              </w:rPr>
              <w:t>（3）考生功能</w:t>
            </w:r>
          </w:p>
          <w:p>
            <w:pPr>
              <w:pStyle w:val="null3"/>
            </w:pPr>
            <w:r>
              <w:rPr>
                <w:rFonts w:ascii="仿宋_GB2312" w:hAnsi="仿宋_GB2312" w:cs="仿宋_GB2312" w:eastAsia="仿宋_GB2312"/>
                <w:sz w:val="20"/>
              </w:rPr>
              <w:t>涉及调整功能模块：填写与修改志愿、确认志愿等功能。</w:t>
            </w:r>
          </w:p>
          <w:p>
            <w:pPr>
              <w:pStyle w:val="null3"/>
            </w:pPr>
            <w:r>
              <w:rPr>
                <w:rFonts w:ascii="仿宋_GB2312" w:hAnsi="仿宋_GB2312" w:cs="仿宋_GB2312" w:eastAsia="仿宋_GB2312"/>
                <w:sz w:val="20"/>
              </w:rPr>
              <w:t>（4）录取管理</w:t>
            </w:r>
          </w:p>
          <w:p>
            <w:pPr>
              <w:pStyle w:val="null3"/>
            </w:pPr>
            <w:r>
              <w:rPr>
                <w:rFonts w:ascii="仿宋_GB2312" w:hAnsi="仿宋_GB2312" w:cs="仿宋_GB2312" w:eastAsia="仿宋_GB2312"/>
                <w:sz w:val="20"/>
              </w:rPr>
              <w:t>涉及调整功能模块：调档、批量手工调档、取消调档、确认调档、预投档计划完成情况、学校审阅、录检、审批、打印审批表、任务查询、退档任务查询、录取统计、录取统计查询、维护考生信息、查询考生信息、录取结果查询、批量查询考生、录取数据下载、查询未被录取考生、初始化录取数据、录取分析、规则性检测等功能。</w:t>
            </w:r>
          </w:p>
          <w:p>
            <w:pPr>
              <w:pStyle w:val="null3"/>
            </w:pPr>
            <w:r>
              <w:rPr>
                <w:rFonts w:ascii="仿宋_GB2312" w:hAnsi="仿宋_GB2312" w:cs="仿宋_GB2312" w:eastAsia="仿宋_GB2312"/>
                <w:sz w:val="20"/>
              </w:rPr>
              <w:t>▲三、技术要求</w:t>
            </w:r>
          </w:p>
          <w:p>
            <w:pPr>
              <w:pStyle w:val="null3"/>
            </w:pPr>
            <w:r>
              <w:rPr>
                <w:rFonts w:ascii="仿宋_GB2312" w:hAnsi="仿宋_GB2312" w:cs="仿宋_GB2312" w:eastAsia="仿宋_GB2312"/>
                <w:sz w:val="20"/>
              </w:rPr>
              <w:t>1.本项目实施后需符合西安市教育考试中心信息化建设的要求，包含但不限于以下：</w:t>
            </w:r>
          </w:p>
          <w:p>
            <w:pPr>
              <w:pStyle w:val="null3"/>
            </w:pPr>
            <w:r>
              <w:rPr>
                <w:rFonts w:ascii="仿宋_GB2312" w:hAnsi="仿宋_GB2312" w:cs="仿宋_GB2312" w:eastAsia="仿宋_GB2312"/>
                <w:sz w:val="20"/>
              </w:rPr>
              <w:t>（1）平台需具备高度稳定性，平台的整体稳定性不低于99.999%。</w:t>
            </w:r>
          </w:p>
          <w:p>
            <w:pPr>
              <w:pStyle w:val="null3"/>
            </w:pPr>
            <w:r>
              <w:rPr>
                <w:rFonts w:ascii="仿宋_GB2312" w:hAnsi="仿宋_GB2312" w:cs="仿宋_GB2312" w:eastAsia="仿宋_GB2312"/>
                <w:sz w:val="20"/>
              </w:rPr>
              <w:t>（2）最大并发请求用户数不小于5000，同时在线人数不小于20000，访问高峰系统平均响应时间：&lt;3秒。</w:t>
            </w:r>
          </w:p>
          <w:p>
            <w:pPr>
              <w:pStyle w:val="null3"/>
            </w:pPr>
            <w:r>
              <w:rPr>
                <w:rFonts w:ascii="仿宋_GB2312" w:hAnsi="仿宋_GB2312" w:cs="仿宋_GB2312" w:eastAsia="仿宋_GB2312"/>
                <w:sz w:val="20"/>
              </w:rPr>
              <w:t>（3）平台应能方便扩展，以支持未来的新增应用。功能模块应为松耦合，定制标准接口规范，并支持各主流系统接口规范。设计中应说明如何支持将来的扩展以及和第三方系统的对接。</w:t>
            </w:r>
          </w:p>
          <w:p>
            <w:pPr>
              <w:pStyle w:val="null3"/>
            </w:pPr>
            <w:r>
              <w:rPr>
                <w:rFonts w:ascii="仿宋_GB2312" w:hAnsi="仿宋_GB2312" w:cs="仿宋_GB2312" w:eastAsia="仿宋_GB2312"/>
                <w:sz w:val="20"/>
              </w:rPr>
              <w:t>（4）平台必须符合商业密码应用安全性和等保要求，配合甲方完成商用密码应用安全性评估和等级保护测评。</w:t>
            </w:r>
          </w:p>
          <w:p>
            <w:pPr>
              <w:pStyle w:val="null3"/>
            </w:pPr>
            <w:r>
              <w:rPr>
                <w:rFonts w:ascii="仿宋_GB2312" w:hAnsi="仿宋_GB2312" w:cs="仿宋_GB2312" w:eastAsia="仿宋_GB2312"/>
                <w:sz w:val="20"/>
              </w:rPr>
              <w:t>（5）配合完成平台功能模块尤其是中考报名、成绩查询、录取结果查询功能的压力测试。</w:t>
            </w:r>
          </w:p>
          <w:p>
            <w:pPr>
              <w:pStyle w:val="null3"/>
            </w:pPr>
            <w:r>
              <w:rPr>
                <w:rFonts w:ascii="仿宋_GB2312" w:hAnsi="仿宋_GB2312" w:cs="仿宋_GB2312" w:eastAsia="仿宋_GB2312"/>
                <w:sz w:val="20"/>
              </w:rPr>
              <w:t>（6）全方位保障和运维平台功能，为本项目建立完善的备份恢复机制和运维保障机制，保障平台的可持续性和稳定性。</w:t>
            </w:r>
          </w:p>
          <w:p>
            <w:pPr>
              <w:pStyle w:val="null3"/>
            </w:pPr>
            <w:r>
              <w:rPr>
                <w:rFonts w:ascii="仿宋_GB2312" w:hAnsi="仿宋_GB2312" w:cs="仿宋_GB2312" w:eastAsia="仿宋_GB2312"/>
                <w:sz w:val="20"/>
              </w:rPr>
              <w:t>2.知识产权</w:t>
            </w:r>
          </w:p>
          <w:p>
            <w:pPr>
              <w:pStyle w:val="null3"/>
            </w:pPr>
            <w:r>
              <w:rPr>
                <w:rFonts w:ascii="仿宋_GB2312" w:hAnsi="仿宋_GB2312" w:cs="仿宋_GB2312" w:eastAsia="仿宋_GB2312"/>
                <w:sz w:val="20"/>
              </w:rPr>
              <w:t>西安教育考试中心享有对管理平台进行二次开发权利，供应商需提供二次开发接口，不得设置知识产权壁垒。西安市教育考试中心在中国使用该产品时，免受第三方提出的侵犯其专利权、商标权或工业设计权等知识产权的起诉或司法干预。如果发生上述起诉或干预，则其法律责任均由供应商负责。</w:t>
            </w:r>
          </w:p>
          <w:p>
            <w:pPr>
              <w:pStyle w:val="null3"/>
            </w:pPr>
            <w:r>
              <w:rPr>
                <w:rFonts w:ascii="仿宋_GB2312" w:hAnsi="仿宋_GB2312" w:cs="仿宋_GB2312" w:eastAsia="仿宋_GB2312"/>
                <w:sz w:val="20"/>
              </w:rPr>
              <w:t>3.技术培训</w:t>
            </w:r>
          </w:p>
          <w:p>
            <w:pPr>
              <w:pStyle w:val="null3"/>
            </w:pPr>
            <w:r>
              <w:rPr>
                <w:rFonts w:ascii="仿宋_GB2312" w:hAnsi="仿宋_GB2312" w:cs="仿宋_GB2312" w:eastAsia="仿宋_GB2312"/>
                <w:sz w:val="20"/>
              </w:rPr>
              <w:t>供应商每年提供不少于1次对平台管理、使用人员的技术培训，培训范围包括市、区县、考点、生源学校系统操作人员。</w:t>
            </w:r>
          </w:p>
          <w:p>
            <w:pPr>
              <w:pStyle w:val="null3"/>
            </w:pPr>
            <w:r>
              <w:rPr>
                <w:rFonts w:ascii="仿宋_GB2312" w:hAnsi="仿宋_GB2312" w:cs="仿宋_GB2312" w:eastAsia="仿宋_GB2312"/>
                <w:sz w:val="20"/>
              </w:rPr>
              <w:t>4.技术服务</w:t>
            </w:r>
          </w:p>
          <w:p>
            <w:pPr>
              <w:pStyle w:val="null3"/>
            </w:pPr>
            <w:r>
              <w:rPr>
                <w:rFonts w:ascii="仿宋_GB2312" w:hAnsi="仿宋_GB2312" w:cs="仿宋_GB2312" w:eastAsia="仿宋_GB2312"/>
                <w:sz w:val="20"/>
              </w:rPr>
              <w:t>在初中学业水平考试报名、成绩合成、成绩发布、录取期间，提供不少于1人的现场技术服务保障。</w:t>
            </w:r>
          </w:p>
          <w:p>
            <w:pPr>
              <w:pStyle w:val="null3"/>
            </w:pPr>
            <w:r>
              <w:rPr>
                <w:rFonts w:ascii="仿宋_GB2312" w:hAnsi="仿宋_GB2312" w:cs="仿宋_GB2312" w:eastAsia="仿宋_GB2312"/>
                <w:sz w:val="20"/>
              </w:rPr>
              <w:t>▲四、保密要求</w:t>
            </w:r>
          </w:p>
          <w:p>
            <w:pPr>
              <w:pStyle w:val="null3"/>
            </w:pPr>
            <w:r>
              <w:rPr>
                <w:rFonts w:ascii="仿宋_GB2312" w:hAnsi="仿宋_GB2312" w:cs="仿宋_GB2312" w:eastAsia="仿宋_GB2312"/>
                <w:sz w:val="20"/>
              </w:rPr>
              <w:t>成交供应商及相关工作人员应严格遵守国家、教育部相关保密相关法律法规，遵守采购人的相关工作纪律。成交供应商不得刺探采购人与系统服务、数据管理工作无关的秘密；不得向任何第三方披露采购人的业务秘密，包括业务运作模式、照顾政策、考生信息、考试安排预计划、考生分数情况、监考人员及工作人员名单、系统技术参数与安全措施等；不得擅自修改、备份、恢复数据等；严禁篡改成绩分数及等级、考生信息、考生志愿等行为；不得私自接受为他人提供查分操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★五、商务要求</w:t>
            </w:r>
          </w:p>
          <w:p>
            <w:pPr>
              <w:pStyle w:val="null3"/>
            </w:pPr>
            <w:r>
              <w:rPr>
                <w:rFonts w:ascii="仿宋_GB2312" w:hAnsi="仿宋_GB2312" w:cs="仿宋_GB2312" w:eastAsia="仿宋_GB2312"/>
                <w:sz w:val="20"/>
              </w:rPr>
              <w:t>1.服务期</w:t>
            </w:r>
          </w:p>
          <w:p>
            <w:pPr>
              <w:pStyle w:val="null3"/>
            </w:pPr>
            <w:r>
              <w:rPr>
                <w:rFonts w:ascii="仿宋_GB2312" w:hAnsi="仿宋_GB2312" w:cs="仿宋_GB2312" w:eastAsia="仿宋_GB2312"/>
                <w:sz w:val="20"/>
              </w:rPr>
              <w:t>服务时间：合同签订后一年。</w:t>
            </w:r>
          </w:p>
          <w:p>
            <w:pPr>
              <w:pStyle w:val="null3"/>
            </w:pPr>
            <w:r>
              <w:rPr>
                <w:rFonts w:ascii="仿宋_GB2312" w:hAnsi="仿宋_GB2312" w:cs="仿宋_GB2312" w:eastAsia="仿宋_GB2312"/>
                <w:sz w:val="20"/>
              </w:rPr>
              <w:t>平台系统升级开发周期：20个自然日。</w:t>
            </w:r>
          </w:p>
          <w:p>
            <w:pPr>
              <w:pStyle w:val="null3"/>
            </w:pPr>
            <w:r>
              <w:rPr>
                <w:rFonts w:ascii="仿宋_GB2312" w:hAnsi="仿宋_GB2312" w:cs="仿宋_GB2312" w:eastAsia="仿宋_GB2312"/>
                <w:sz w:val="20"/>
              </w:rPr>
              <w:t>2.款项结算</w:t>
            </w:r>
          </w:p>
          <w:p>
            <w:pPr>
              <w:pStyle w:val="null3"/>
            </w:pPr>
            <w:r>
              <w:rPr>
                <w:rFonts w:ascii="仿宋_GB2312" w:hAnsi="仿宋_GB2312" w:cs="仿宋_GB2312" w:eastAsia="仿宋_GB2312"/>
                <w:sz w:val="20"/>
              </w:rPr>
              <w:t>（1）合同签订后预付合同总价款的50%；</w:t>
            </w:r>
          </w:p>
          <w:p>
            <w:pPr>
              <w:pStyle w:val="null3"/>
            </w:pPr>
            <w:r>
              <w:rPr>
                <w:rFonts w:ascii="仿宋_GB2312" w:hAnsi="仿宋_GB2312" w:cs="仿宋_GB2312" w:eastAsia="仿宋_GB2312"/>
                <w:sz w:val="21"/>
              </w:rPr>
              <w:t>（2）平台升级完成并调试运行正常，按要求完成保障工作，验收合格后支付合同总价款的50%。</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▲六、验收要求</w:t>
            </w:r>
          </w:p>
          <w:p>
            <w:pPr>
              <w:pStyle w:val="null3"/>
            </w:pPr>
            <w:r>
              <w:rPr>
                <w:rFonts w:ascii="仿宋_GB2312" w:hAnsi="仿宋_GB2312" w:cs="仿宋_GB2312" w:eastAsia="仿宋_GB2312"/>
                <w:sz w:val="20"/>
              </w:rPr>
              <w:t>1.验收时间</w:t>
            </w:r>
          </w:p>
          <w:p>
            <w:pPr>
              <w:pStyle w:val="null3"/>
            </w:pPr>
            <w:r>
              <w:rPr>
                <w:rFonts w:ascii="仿宋_GB2312" w:hAnsi="仿宋_GB2312" w:cs="仿宋_GB2312" w:eastAsia="仿宋_GB2312"/>
                <w:sz w:val="20"/>
              </w:rPr>
              <w:t>考试结束及服务完成后，西安市教育考试中心组织验收。</w:t>
            </w:r>
          </w:p>
          <w:p>
            <w:pPr>
              <w:pStyle w:val="null3"/>
            </w:pPr>
            <w:r>
              <w:rPr>
                <w:rFonts w:ascii="仿宋_GB2312" w:hAnsi="仿宋_GB2312" w:cs="仿宋_GB2312" w:eastAsia="仿宋_GB2312"/>
                <w:sz w:val="20"/>
              </w:rPr>
              <w:t>2.验收组织方式</w:t>
            </w:r>
          </w:p>
          <w:p>
            <w:pPr>
              <w:pStyle w:val="null3"/>
            </w:pPr>
            <w:r>
              <w:rPr>
                <w:rFonts w:ascii="仿宋_GB2312" w:hAnsi="仿宋_GB2312" w:cs="仿宋_GB2312" w:eastAsia="仿宋_GB2312"/>
                <w:sz w:val="20"/>
              </w:rPr>
              <w:t>具备验收条件后，采购人自行验收。</w:t>
            </w:r>
          </w:p>
          <w:p>
            <w:pPr>
              <w:pStyle w:val="null3"/>
            </w:pPr>
            <w:r>
              <w:rPr>
                <w:rFonts w:ascii="仿宋_GB2312" w:hAnsi="仿宋_GB2312" w:cs="仿宋_GB2312" w:eastAsia="仿宋_GB2312"/>
                <w:sz w:val="20"/>
              </w:rPr>
              <w:t>3.验收程序</w:t>
            </w:r>
          </w:p>
          <w:p>
            <w:pPr>
              <w:pStyle w:val="null3"/>
            </w:pPr>
            <w:r>
              <w:rPr>
                <w:rFonts w:ascii="仿宋_GB2312" w:hAnsi="仿宋_GB2312" w:cs="仿宋_GB2312" w:eastAsia="仿宋_GB2312"/>
                <w:sz w:val="20"/>
              </w:rPr>
              <w:t>一次性验收。</w:t>
            </w:r>
          </w:p>
          <w:p>
            <w:pPr>
              <w:pStyle w:val="null3"/>
            </w:pPr>
            <w:r>
              <w:rPr>
                <w:rFonts w:ascii="仿宋_GB2312" w:hAnsi="仿宋_GB2312" w:cs="仿宋_GB2312" w:eastAsia="仿宋_GB2312"/>
                <w:sz w:val="20"/>
              </w:rPr>
              <w:t>4.验收内容</w:t>
            </w:r>
          </w:p>
          <w:p>
            <w:pPr>
              <w:pStyle w:val="null3"/>
            </w:pPr>
            <w:r>
              <w:rPr>
                <w:rFonts w:ascii="仿宋_GB2312" w:hAnsi="仿宋_GB2312" w:cs="仿宋_GB2312" w:eastAsia="仿宋_GB2312"/>
                <w:sz w:val="21"/>
              </w:rPr>
              <w:t>按照本项目磋商文件、成交供应商响应文件及合同进行验收。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标的名称：安全防护服务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▲一、概况</w:t>
            </w:r>
          </w:p>
          <w:p>
            <w:pPr>
              <w:pStyle w:val="null3"/>
            </w:pPr>
            <w:r>
              <w:rPr>
                <w:rFonts w:ascii="仿宋_GB2312" w:hAnsi="仿宋_GB2312" w:cs="仿宋_GB2312" w:eastAsia="仿宋_GB2312"/>
                <w:sz w:val="20"/>
              </w:rPr>
              <w:t>1.名称：安全防护服务</w:t>
            </w:r>
          </w:p>
          <w:p>
            <w:pPr>
              <w:pStyle w:val="null3"/>
            </w:pPr>
            <w:r>
              <w:rPr>
                <w:rFonts w:ascii="仿宋_GB2312" w:hAnsi="仿宋_GB2312" w:cs="仿宋_GB2312" w:eastAsia="仿宋_GB2312"/>
                <w:sz w:val="20"/>
              </w:rPr>
              <w:t>2.预算金额：31.5万（叁拾壹万伍仟元）</w:t>
            </w:r>
          </w:p>
          <w:p>
            <w:pPr>
              <w:pStyle w:val="null3"/>
            </w:pPr>
            <w:r>
              <w:rPr>
                <w:rFonts w:ascii="仿宋_GB2312" w:hAnsi="仿宋_GB2312" w:cs="仿宋_GB2312" w:eastAsia="仿宋_GB2312"/>
                <w:sz w:val="20"/>
              </w:rPr>
              <w:t>3.背景情况</w:t>
            </w:r>
          </w:p>
          <w:p>
            <w:pPr>
              <w:pStyle w:val="null3"/>
            </w:pPr>
            <w:r>
              <w:rPr>
                <w:rFonts w:ascii="仿宋_GB2312" w:hAnsi="仿宋_GB2312" w:cs="仿宋_GB2312" w:eastAsia="仿宋_GB2312"/>
                <w:sz w:val="20"/>
              </w:rPr>
              <w:t>根据国务院对教育领域网络安全和信息化的战略部署，研制教育信息化中长期发展规划（2021-2035年）和“十四五”规划，出台推进“互联网+教育”发展、加强教育管理信息化的指导意见以及总书记提出的“没有网络安全，就没有国家安全”，加强网络安全建设，强化单位网络防护水平。目前在各项考试组织工作中对网络安全的要求逐步提高，网络攻击日益频繁，为了使我中心重要数据的安全性、完整性得到保证，因此需要持续做好网络安全保障。</w:t>
            </w:r>
          </w:p>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具体服务内容包括：技术支持和驻场服务。其中:1.日常运维</w:t>
            </w:r>
          </w:p>
          <w:p>
            <w:pPr>
              <w:pStyle w:val="null3"/>
            </w:pPr>
            <w:r>
              <w:rPr>
                <w:rFonts w:ascii="仿宋_GB2312" w:hAnsi="仿宋_GB2312" w:cs="仿宋_GB2312" w:eastAsia="仿宋_GB2312"/>
                <w:sz w:val="20"/>
              </w:rPr>
              <w:t>1.1.技术支持</w:t>
            </w:r>
          </w:p>
          <w:p>
            <w:pPr>
              <w:pStyle w:val="null3"/>
              <w:jc w:val="both"/>
            </w:pPr>
            <w:r>
              <w:rPr>
                <w:rFonts w:ascii="仿宋_GB2312" w:hAnsi="仿宋_GB2312" w:cs="仿宋_GB2312" w:eastAsia="仿宋_GB2312"/>
                <w:sz w:val="20"/>
              </w:rPr>
              <w:t>（1）安全产品续保</w:t>
            </w:r>
          </w:p>
          <w:p>
            <w:pPr>
              <w:pStyle w:val="null3"/>
              <w:jc w:val="both"/>
            </w:pPr>
            <w:r>
              <w:rPr>
                <w:rFonts w:ascii="仿宋_GB2312" w:hAnsi="仿宋_GB2312" w:cs="仿宋_GB2312" w:eastAsia="仿宋_GB2312"/>
                <w:sz w:val="20"/>
              </w:rPr>
              <w:t>对中心机房现有下一代防火墙、负载均衡、上网行为管理设备以及终端监测响应设备购买年度原厂维保服务，以确保设备的持续更新、故障排除、性能优化和技术支持，使其稳定可靠地运行。</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产品名称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产品品牌</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产品型号</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下一代防火墙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深信服</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AF-2000-B2300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负载均衡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深信服</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AD-1000-B2400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上网行为管理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深信服</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AC-1000-B2250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终端监测响应</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深信服</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EDR-1000-B600</w:t>
                  </w:r>
                </w:p>
              </w:tc>
            </w:tr>
          </w:tbl>
          <w:p>
            <w:pPr>
              <w:pStyle w:val="null3"/>
              <w:jc w:val="both"/>
            </w:pPr>
            <w:r>
              <w:rPr>
                <w:rFonts w:ascii="仿宋_GB2312" w:hAnsi="仿宋_GB2312" w:cs="仿宋_GB2312" w:eastAsia="仿宋_GB2312"/>
                <w:sz w:val="20"/>
              </w:rPr>
              <w:t>（2）应急演练</w:t>
            </w:r>
          </w:p>
          <w:p>
            <w:pPr>
              <w:pStyle w:val="null3"/>
              <w:jc w:val="both"/>
            </w:pPr>
            <w:r>
              <w:rPr>
                <w:rFonts w:ascii="仿宋_GB2312" w:hAnsi="仿宋_GB2312" w:cs="仿宋_GB2312" w:eastAsia="仿宋_GB2312"/>
                <w:sz w:val="20"/>
              </w:rPr>
              <w:t>对西安市初中学业水平考试招生在管理平台进行1次全方位的应急演练，由3名工程师提供服务，环境搭建、应急演练排练及正式应急演练共4天，进行一次勒索病毒和网络篡改的模拟演练，提供演练脚本和流程。演练结束后将形成详尽的应急演练报告，以便进一步完善和优化应急机制。以此检验应急预案的有效性，并通过实战模拟提高团队处理突发事件的能力。</w:t>
            </w:r>
          </w:p>
          <w:p>
            <w:pPr>
              <w:pStyle w:val="null3"/>
              <w:jc w:val="both"/>
            </w:pPr>
            <w:r>
              <w:rPr>
                <w:rFonts w:ascii="仿宋_GB2312" w:hAnsi="仿宋_GB2312" w:cs="仿宋_GB2312" w:eastAsia="仿宋_GB2312"/>
                <w:sz w:val="20"/>
              </w:rPr>
              <w:t>（3）漏洞扫描</w:t>
            </w:r>
          </w:p>
          <w:p>
            <w:pPr>
              <w:pStyle w:val="null3"/>
              <w:jc w:val="both"/>
            </w:pPr>
            <w:r>
              <w:rPr>
                <w:rFonts w:ascii="仿宋_GB2312" w:hAnsi="仿宋_GB2312" w:cs="仿宋_GB2312" w:eastAsia="仿宋_GB2312"/>
                <w:sz w:val="20"/>
              </w:rPr>
              <w:t>由3名专业技术人员进行1次全面深入的中心全网络全设备漏洞扫描，出具详细的漏洞扫描报告，并基于报告中发现的问题，及时采取相应的补救措施，修补各类安全隐患，从而有效降低因系统漏洞引发的安全攻击风险。</w:t>
            </w:r>
          </w:p>
          <w:p>
            <w:pPr>
              <w:pStyle w:val="null3"/>
              <w:ind w:firstLine="420"/>
              <w:jc w:val="both"/>
            </w:pPr>
            <w:r>
              <w:rPr>
                <w:rFonts w:ascii="仿宋_GB2312" w:hAnsi="仿宋_GB2312" w:cs="仿宋_GB2312" w:eastAsia="仿宋_GB2312"/>
                <w:sz w:val="20"/>
              </w:rPr>
              <w:t>（4）压力测试</w:t>
            </w:r>
          </w:p>
          <w:p>
            <w:pPr>
              <w:pStyle w:val="null3"/>
            </w:pPr>
            <w:r>
              <w:rPr>
                <w:rFonts w:ascii="仿宋_GB2312" w:hAnsi="仿宋_GB2312" w:cs="仿宋_GB2312" w:eastAsia="仿宋_GB2312"/>
                <w:sz w:val="20"/>
              </w:rPr>
              <w:t>为了保证西安市初中学业水平考试招生管理平台在高负载情况下的稳定性和可靠性，对考生报名、成绩查询、录取结果查询核心功能模块分别进行1次独立的压力测试，以此来科学准确地评估系统的最大承载能力，并根据测试结果进行性能调优，为日常工作的顺利开展提供有力的数据支撑和技术保障。</w:t>
            </w:r>
          </w:p>
          <w:p>
            <w:pPr>
              <w:pStyle w:val="null3"/>
            </w:pPr>
            <w:r>
              <w:rPr>
                <w:rFonts w:ascii="仿宋_GB2312" w:hAnsi="仿宋_GB2312" w:cs="仿宋_GB2312" w:eastAsia="仿宋_GB2312"/>
                <w:sz w:val="20"/>
              </w:rPr>
              <w:t>1.2.驻场服务</w:t>
            </w:r>
          </w:p>
          <w:p>
            <w:pPr>
              <w:pStyle w:val="null3"/>
            </w:pPr>
            <w:r>
              <w:rPr>
                <w:rFonts w:ascii="仿宋_GB2312" w:hAnsi="仿宋_GB2312" w:cs="仿宋_GB2312" w:eastAsia="仿宋_GB2312"/>
                <w:sz w:val="20"/>
              </w:rPr>
              <w:t>驻场服务需要专业技术团队对中心安全防护产品包括负载均衡、防火墙、上网行为管理、终端监测响应等进行全天技术保障，实行24小时应急响应制度，以应对可能出现的各种突发状况，尤其在西安市初中学业水平考试考生报名、成绩查询、志愿填报、高中阶段录取关键时间段。同时，在全省或全市范围内的网络安全攻防演练期间，要求服务商提供24小时不间断的运维保障服务，确保管理平台在此类特殊时期的网络安全。</w:t>
            </w:r>
          </w:p>
          <w:p>
            <w:pPr>
              <w:pStyle w:val="null3"/>
            </w:pPr>
            <w:r>
              <w:rPr>
                <w:rFonts w:ascii="仿宋_GB2312" w:hAnsi="仿宋_GB2312" w:cs="仿宋_GB2312" w:eastAsia="仿宋_GB2312"/>
                <w:sz w:val="20"/>
              </w:rPr>
              <w:t>▲三、技术要求</w:t>
            </w:r>
          </w:p>
          <w:p>
            <w:pPr>
              <w:pStyle w:val="null3"/>
            </w:pPr>
            <w:r>
              <w:rPr>
                <w:rFonts w:ascii="仿宋_GB2312" w:hAnsi="仿宋_GB2312" w:cs="仿宋_GB2312" w:eastAsia="仿宋_GB2312"/>
                <w:sz w:val="20"/>
              </w:rPr>
              <w:t>1.安全产品续保</w:t>
            </w:r>
          </w:p>
          <w:p>
            <w:pPr>
              <w:pStyle w:val="null3"/>
            </w:pPr>
            <w:r>
              <w:rPr>
                <w:rFonts w:ascii="仿宋_GB2312" w:hAnsi="仿宋_GB2312" w:cs="仿宋_GB2312" w:eastAsia="仿宋_GB2312"/>
                <w:sz w:val="20"/>
              </w:rPr>
              <w:t>涉及的续保产品需提供一年硬件整机保修服务。在硬件保修期内，对硬件产品整机给予保修，如有设备配件或整机损坏，及时提供备机服务，保障业务不中断并及时返修</w:t>
            </w:r>
          </w:p>
          <w:p>
            <w:pPr>
              <w:pStyle w:val="null3"/>
            </w:pPr>
            <w:r>
              <w:rPr>
                <w:rFonts w:ascii="仿宋_GB2312" w:hAnsi="仿宋_GB2312" w:cs="仿宋_GB2312" w:eastAsia="仿宋_GB2312"/>
                <w:sz w:val="20"/>
              </w:rPr>
              <w:t>2. 各个产品具体要求</w:t>
            </w:r>
          </w:p>
          <w:p>
            <w:pPr>
              <w:pStyle w:val="null3"/>
            </w:pPr>
            <w:r>
              <w:rPr>
                <w:rFonts w:ascii="仿宋_GB2312" w:hAnsi="仿宋_GB2312" w:cs="仿宋_GB2312" w:eastAsia="仿宋_GB2312"/>
                <w:sz w:val="20"/>
              </w:rPr>
              <w:t>（1）负载均衡产品续保需提供一年软件升级，更新已修复已知漏洞，增强功能以及优化性能，确保与最新的操作系统和其他相关软件兼容。</w:t>
            </w:r>
          </w:p>
          <w:p>
            <w:pPr>
              <w:pStyle w:val="null3"/>
            </w:pPr>
            <w:r>
              <w:rPr>
                <w:rFonts w:ascii="仿宋_GB2312" w:hAnsi="仿宋_GB2312" w:cs="仿宋_GB2312" w:eastAsia="仿宋_GB2312"/>
                <w:sz w:val="20"/>
              </w:rPr>
              <w:t>（2）下一代防火墙产品续保需提供一年软件升级和规则库升级服务，对软件内核及规则库进行版本升级及更新，保证软件及规则库持续处于最新版本，具有最新安全防护能力，可以抵御对应网络及病毒攻击。</w:t>
            </w:r>
          </w:p>
          <w:p>
            <w:pPr>
              <w:pStyle w:val="null3"/>
            </w:pPr>
            <w:r>
              <w:rPr>
                <w:rFonts w:ascii="仿宋_GB2312" w:hAnsi="仿宋_GB2312" w:cs="仿宋_GB2312" w:eastAsia="仿宋_GB2312"/>
                <w:sz w:val="20"/>
              </w:rPr>
              <w:t>（3）上网行为管理产品续保需提供一年软件升级和规则库升级服务，包括功能增强、用户界面优化以及性能改进，定期更新上网行为管理软件的核心引擎，以应对新出现的安全威胁。</w:t>
            </w:r>
          </w:p>
          <w:p>
            <w:pPr>
              <w:pStyle w:val="null3"/>
            </w:pPr>
            <w:r>
              <w:rPr>
                <w:rFonts w:ascii="仿宋_GB2312" w:hAnsi="仿宋_GB2312" w:cs="仿宋_GB2312" w:eastAsia="仿宋_GB2312"/>
                <w:sz w:val="20"/>
              </w:rPr>
              <w:t>（4）终端检测响应产品续保需提供一年的运维保障服务，确保EDR平台能接收最新的威胁情报，以便及时识别新出现的恶意软件、零日漏洞和其他安全威胁。定期提供EDR解决方案的软件更新，包括修复已知漏洞、增强功能以及性能优化。</w:t>
            </w:r>
          </w:p>
          <w:p>
            <w:pPr>
              <w:pStyle w:val="null3"/>
            </w:pPr>
            <w:r>
              <w:rPr>
                <w:rFonts w:ascii="仿宋_GB2312" w:hAnsi="仿宋_GB2312" w:cs="仿宋_GB2312" w:eastAsia="仿宋_GB2312"/>
                <w:sz w:val="20"/>
              </w:rPr>
              <w:t>3.压力测试</w:t>
            </w:r>
          </w:p>
          <w:tbl>
            <w:tblPr>
              <w:tblBorders>
                <w:top w:val="none" w:color="000000" w:sz="4"/>
                <w:left w:val="none" w:color="000000" w:sz="4"/>
                <w:bottom w:val="none" w:color="000000" w:sz="4"/>
                <w:right w:val="none" w:color="000000" w:sz="4"/>
                <w:insideH w:val="none"/>
                <w:insideV w:val="none"/>
              </w:tblBorders>
            </w:tblPr>
            <w:tblGrid>
              <w:gridCol w:w="522"/>
              <w:gridCol w:w="1359"/>
              <w:gridCol w:w="673"/>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测试模块</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测试内容</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测试次数</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考生报名</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shd w:fill="FFFFFF" w:val="clear"/>
                    </w:rPr>
                    <w:t>通过模拟考生报名的整个流程，在登录接口、保存信息接口、正式提交接口进行流程性测试。</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进行10次全流程压力测试</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成绩查询</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shd w:fill="FFFFFF" w:val="clear"/>
                    </w:rPr>
                    <w:t>通过模拟考生成绩查询的整个流程，在登录接口、查询接口进行流程性测试。</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进行10次全流程压力测试</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录取结果查询</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shd w:fill="FFFFFF" w:val="clear"/>
                    </w:rPr>
                    <w:t>通过模拟考生报名的整个流程，在登录接口、查询接口进行流程性测试。</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进行10次全流程压力测试</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四、服务要求</w:t>
            </w:r>
          </w:p>
          <w:p>
            <w:pPr>
              <w:pStyle w:val="null3"/>
            </w:pPr>
            <w:r>
              <w:rPr>
                <w:rFonts w:ascii="仿宋_GB2312" w:hAnsi="仿宋_GB2312" w:cs="仿宋_GB2312" w:eastAsia="仿宋_GB2312"/>
                <w:sz w:val="20"/>
              </w:rPr>
              <w:t>★（1）所投深信服安全设备续保需提供原厂授权以及售后服务承诺函（盖原厂公章）。</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▲（2）提供一年电话咨询及远程调试服务，在服务期内，将有原厂技术工程师或者经过原厂技术认证的工程师提供7*24小时电话咨询及远程技术协助服务。</w:t>
            </w:r>
          </w:p>
          <w:p>
            <w:pPr>
              <w:pStyle w:val="null3"/>
            </w:pPr>
            <w:r>
              <w:rPr>
                <w:rFonts w:ascii="仿宋_GB2312" w:hAnsi="仿宋_GB2312" w:cs="仿宋_GB2312" w:eastAsia="仿宋_GB2312"/>
                <w:sz w:val="20"/>
              </w:rPr>
              <w:t>▲（3）提供一年上门现场支持服务，在服务期内，对于中心使用过程中遇到的问题，如咨询及远程调试不能解决，将派遣原厂技术工程师或者经过技术认证的工程师赶赴现场解决技术问题，进行现场技术支持。一般紧急问题4小时内提供上门服务，重要紧急问题2小时内提供上门服务。</w:t>
            </w:r>
          </w:p>
          <w:p>
            <w:pPr>
              <w:pStyle w:val="null3"/>
            </w:pPr>
            <w:r>
              <w:rPr>
                <w:rFonts w:ascii="仿宋_GB2312" w:hAnsi="仿宋_GB2312" w:cs="仿宋_GB2312" w:eastAsia="仿宋_GB2312"/>
                <w:sz w:val="20"/>
              </w:rPr>
              <w:t>▲（4）提供一年技术培训服务，在服务期内，为管理员和技术人员提供操作培训，使其更好地理解和使用设备的各项功能。</w:t>
            </w:r>
          </w:p>
          <w:p>
            <w:pPr>
              <w:pStyle w:val="null3"/>
            </w:pPr>
            <w:r>
              <w:rPr>
                <w:rFonts w:ascii="仿宋_GB2312" w:hAnsi="仿宋_GB2312" w:cs="仿宋_GB2312" w:eastAsia="仿宋_GB2312"/>
                <w:sz w:val="20"/>
              </w:rPr>
              <w:t>▲（5）驻场服务</w:t>
            </w:r>
          </w:p>
          <w:tbl>
            <w:tblPr>
              <w:tblBorders>
                <w:top w:val="none" w:color="000000" w:sz="4"/>
                <w:left w:val="none" w:color="000000" w:sz="4"/>
                <w:bottom w:val="none" w:color="000000" w:sz="4"/>
                <w:right w:val="none" w:color="000000" w:sz="4"/>
                <w:insideH w:val="none"/>
                <w:insideV w:val="none"/>
              </w:tblBorders>
            </w:tblPr>
            <w:tblGrid>
              <w:gridCol w:w="638"/>
              <w:gridCol w:w="971"/>
              <w:gridCol w:w="557"/>
              <w:gridCol w:w="387"/>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重保时间段</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服务内容</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服务天数（天）</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驻场人员</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中考考生报名</w:t>
                  </w:r>
                </w:p>
              </w:tc>
              <w:tc>
                <w:tcPr>
                  <w:tcW w:type="dxa" w:w="9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shd w:fill="FFFFFF" w:val="clear"/>
                    </w:rPr>
                    <w:t>在此期间，进行现场值守，提供24小时服务支持，持续检测网络防护情况，及时调整防护策略，每日形成保障日志。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成绩查询</w:t>
                  </w:r>
                </w:p>
              </w:tc>
              <w:tc>
                <w:tcPr>
                  <w:tcW w:type="dxa" w:w="971"/>
                  <w:vMerge/>
                  <w:tcBorders>
                    <w:top w:val="none" w:color="000000" w:sz="4"/>
                    <w:left w:val="none" w:color="000000" w:sz="4"/>
                    <w:bottom w:val="single" w:color="000000" w:sz="4"/>
                    <w:right w:val="single" w:color="000000" w:sz="4"/>
                  </w:tcBorders>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志愿填报</w:t>
                  </w:r>
                </w:p>
              </w:tc>
              <w:tc>
                <w:tcPr>
                  <w:tcW w:type="dxa" w:w="971"/>
                  <w:vMerge/>
                  <w:tcBorders>
                    <w:top w:val="none" w:color="000000" w:sz="4"/>
                    <w:left w:val="none" w:color="000000" w:sz="4"/>
                    <w:bottom w:val="single" w:color="000000" w:sz="4"/>
                    <w:right w:val="single" w:color="000000" w:sz="4"/>
                  </w:tcBorders>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6</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高中阶段录取</w:t>
                  </w:r>
                </w:p>
              </w:tc>
              <w:tc>
                <w:tcPr>
                  <w:tcW w:type="dxa" w:w="971"/>
                  <w:vMerge/>
                  <w:tcBorders>
                    <w:top w:val="none" w:color="000000" w:sz="4"/>
                    <w:left w:val="none" w:color="000000" w:sz="4"/>
                    <w:bottom w:val="single" w:color="000000" w:sz="4"/>
                    <w:right w:val="single" w:color="000000" w:sz="4"/>
                  </w:tcBorders>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攻防演练</w:t>
                  </w:r>
                </w:p>
              </w:tc>
              <w:tc>
                <w:tcPr>
                  <w:tcW w:type="dxa" w:w="971"/>
                  <w:vMerge/>
                  <w:tcBorders>
                    <w:top w:val="none" w:color="000000" w:sz="4"/>
                    <w:left w:val="none" w:color="000000" w:sz="4"/>
                    <w:bottom w:val="single" w:color="000000" w:sz="4"/>
                    <w:right w:val="single" w:color="000000" w:sz="4"/>
                  </w:tcBorders>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7</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shd w:fill="FFFFFF" w:val="clear"/>
                    </w:rPr>
                    <w:t>1</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★五、商务要求</w:t>
            </w:r>
          </w:p>
          <w:p>
            <w:pPr>
              <w:pStyle w:val="null3"/>
            </w:pPr>
            <w:r>
              <w:rPr>
                <w:rFonts w:ascii="仿宋_GB2312" w:hAnsi="仿宋_GB2312" w:cs="仿宋_GB2312" w:eastAsia="仿宋_GB2312"/>
                <w:sz w:val="20"/>
              </w:rPr>
              <w:t>1.服务期</w:t>
            </w:r>
          </w:p>
          <w:p>
            <w:pPr>
              <w:pStyle w:val="null3"/>
            </w:pPr>
            <w:r>
              <w:rPr>
                <w:rFonts w:ascii="仿宋_GB2312" w:hAnsi="仿宋_GB2312" w:cs="仿宋_GB2312" w:eastAsia="仿宋_GB2312"/>
                <w:sz w:val="20"/>
              </w:rPr>
              <w:t>服务时间：合同签订后一年。</w:t>
            </w:r>
          </w:p>
          <w:p>
            <w:pPr>
              <w:pStyle w:val="null3"/>
            </w:pPr>
            <w:r>
              <w:rPr>
                <w:rFonts w:ascii="仿宋_GB2312" w:hAnsi="仿宋_GB2312" w:cs="仿宋_GB2312" w:eastAsia="仿宋_GB2312"/>
                <w:sz w:val="20"/>
              </w:rPr>
              <w:t>2.款项结算</w:t>
            </w:r>
          </w:p>
          <w:p>
            <w:pPr>
              <w:pStyle w:val="null3"/>
            </w:pPr>
            <w:r>
              <w:rPr>
                <w:rFonts w:ascii="仿宋_GB2312" w:hAnsi="仿宋_GB2312" w:cs="仿宋_GB2312" w:eastAsia="仿宋_GB2312"/>
                <w:sz w:val="20"/>
              </w:rPr>
              <w:t>（1）合同签订后预付合同总价款的50%；</w:t>
            </w:r>
          </w:p>
          <w:p>
            <w:pPr>
              <w:pStyle w:val="null3"/>
            </w:pPr>
            <w:r>
              <w:rPr>
                <w:rFonts w:ascii="仿宋_GB2312" w:hAnsi="仿宋_GB2312" w:cs="仿宋_GB2312" w:eastAsia="仿宋_GB2312"/>
                <w:sz w:val="20"/>
              </w:rPr>
              <w:t>（2）按要求完成服务保障工作，验收合格后支付合同总价款的50%。</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▲六、验收要求</w:t>
            </w:r>
          </w:p>
          <w:p>
            <w:pPr>
              <w:pStyle w:val="null3"/>
            </w:pPr>
            <w:r>
              <w:rPr>
                <w:rFonts w:ascii="仿宋_GB2312" w:hAnsi="仿宋_GB2312" w:cs="仿宋_GB2312" w:eastAsia="仿宋_GB2312"/>
                <w:sz w:val="20"/>
              </w:rPr>
              <w:t>1.验收时间</w:t>
            </w:r>
          </w:p>
          <w:p>
            <w:pPr>
              <w:pStyle w:val="null3"/>
            </w:pPr>
            <w:r>
              <w:rPr>
                <w:rFonts w:ascii="仿宋_GB2312" w:hAnsi="仿宋_GB2312" w:cs="仿宋_GB2312" w:eastAsia="仿宋_GB2312"/>
                <w:sz w:val="20"/>
              </w:rPr>
              <w:t>考试结束及服务完成后，西安市教育考试中心组织验收。</w:t>
            </w:r>
          </w:p>
          <w:p>
            <w:pPr>
              <w:pStyle w:val="null3"/>
            </w:pPr>
            <w:r>
              <w:rPr>
                <w:rFonts w:ascii="仿宋_GB2312" w:hAnsi="仿宋_GB2312" w:cs="仿宋_GB2312" w:eastAsia="仿宋_GB2312"/>
                <w:sz w:val="20"/>
              </w:rPr>
              <w:t>2.验收组织方式</w:t>
            </w:r>
          </w:p>
          <w:p>
            <w:pPr>
              <w:pStyle w:val="null3"/>
            </w:pPr>
            <w:r>
              <w:rPr>
                <w:rFonts w:ascii="仿宋_GB2312" w:hAnsi="仿宋_GB2312" w:cs="仿宋_GB2312" w:eastAsia="仿宋_GB2312"/>
                <w:sz w:val="20"/>
              </w:rPr>
              <w:t>具备验收条件后，采购人自行验收。</w:t>
            </w:r>
          </w:p>
          <w:p>
            <w:pPr>
              <w:pStyle w:val="null3"/>
            </w:pPr>
            <w:r>
              <w:rPr>
                <w:rFonts w:ascii="仿宋_GB2312" w:hAnsi="仿宋_GB2312" w:cs="仿宋_GB2312" w:eastAsia="仿宋_GB2312"/>
                <w:sz w:val="20"/>
              </w:rPr>
              <w:t>3.验收程序</w:t>
            </w:r>
          </w:p>
          <w:p>
            <w:pPr>
              <w:pStyle w:val="null3"/>
            </w:pPr>
            <w:r>
              <w:rPr>
                <w:rFonts w:ascii="仿宋_GB2312" w:hAnsi="仿宋_GB2312" w:cs="仿宋_GB2312" w:eastAsia="仿宋_GB2312"/>
                <w:sz w:val="20"/>
              </w:rPr>
              <w:t>一次性验收。</w:t>
            </w:r>
          </w:p>
          <w:p>
            <w:pPr>
              <w:pStyle w:val="null3"/>
            </w:pPr>
            <w:r>
              <w:rPr>
                <w:rFonts w:ascii="仿宋_GB2312" w:hAnsi="仿宋_GB2312" w:cs="仿宋_GB2312" w:eastAsia="仿宋_GB2312"/>
                <w:sz w:val="20"/>
              </w:rPr>
              <w:t>4.验收内容</w:t>
            </w:r>
          </w:p>
          <w:p>
            <w:pPr>
              <w:pStyle w:val="null3"/>
            </w:pPr>
            <w:r>
              <w:rPr>
                <w:rFonts w:ascii="仿宋_GB2312" w:hAnsi="仿宋_GB2312" w:cs="仿宋_GB2312" w:eastAsia="仿宋_GB2312"/>
                <w:sz w:val="21"/>
              </w:rPr>
              <w:t>按照本项目磋商文件、成交供应商响应文件及合同进行验收。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详见磋商文件第六章磋商办法（评分标准）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详见磋商文件第六章磋商办法（评分标准）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服务时间：合同签订后一年。平台系统升级开发周期：20个自然日。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根据磋商文件、响应文件、合同及国家相关标准。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合同签订后预付合同总价款的50%</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平台升级完成并调试运行正常，按要求完成保障工作，验收合格后支付合同总价款的50%</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合同签订后预付合同总价款的50%</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按要求完成服务保障工作，验收合格后支付合同总价款的50%。</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根据磋商文件、响应文件、合同及国家相关标准。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根据磋商文件、响应文件、合同及国家相关标准。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 提供注册登记凭证（营业执照、其他组织经营的合法凭证，自然人的提供身份证明文件）。 2）具有良好的商业信誉和健全的财务会计制度 提供2023年度或者2024年经审计的财务报告（包括四表一注，即资产负债表、利润表、现金流量表、所有者权益变动表及其附注，成立时间至提交响应文件截止时间不足一年的可提供成立后任意时段的资产负债表），且无反对意见；事业法人提供部门决算报告；/或在磋商截止日期前六个月内其基本开户银行出具的资信证明（附《基本存款账户信息》或《银行开户许可证》复印件）； /或财政部门认可的政府采购专业担保机构出具的磋商担保函； 以上三种形式的资料提供任何一种即可。 3）具有履行合同所必需的设备和专业技术能力 提供声明文件。 4）具有依法缴纳税收的良好记录 提供2024年1月至今任意一个月的（磋商截止时间当月不计入）的增值税（或所得税）缴费凭据或税务机关出具的完税证明/在法规范围内不需提供的应出具书面说明和证明文件。 5）具有依法缴纳社会保障资金的良好记录 提供缴费所属日期为提供2024年1月至今至少一个月（磋商截止时间当月不计入）的缴费凭据或社保机关出具的缴费证明/在法规范围内不需提供的应出具书面说明和证明文件。 6）参加政府采购活动前3年内在经营活动中没有重大违法记录的书面声明。 7）法人代表授权书。</w:t>
            </w:r>
          </w:p>
        </w:tc>
        <w:tc>
          <w:tcPr>
            <w:tcW w:type="dxa" w:w="1661"/>
          </w:tcPr>
          <w:p>
            <w:pPr>
              <w:pStyle w:val="null3"/>
            </w:pPr>
            <w:r>
              <w:rPr>
                <w:rFonts w:ascii="仿宋_GB2312" w:hAnsi="仿宋_GB2312" w:cs="仿宋_GB2312" w:eastAsia="仿宋_GB2312"/>
              </w:rPr>
              <w:t>资格证明文件格式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 提供注册登记凭证（营业执照、其他组织经营的合法凭证，自然人的提供身份证明文件）。 2）具有良好的商业信誉和健全的财务会计制度 提供2023年度或者2024年经审计的财务报告（包括四表一注，即资产负债表、利润表、现金流量表、所有者权益变动表及其附注，成立时间至提交响应文件截止时间不足一年的可提供成立后任意时段的资产负债表），且无反对意见；事业法人提供部门决算报告；/或在磋商截止日期前六个月内其基本开户银行出具的资信证明（附《基本存款账户信息》或《银行开户许可证》复印件）； /或财政部门认可的政府采购专业担保机构出具的磋商担保函； 以上三种形式的资料提供任何一种即可。 3）具有履行合同所必需的设备和专业技术能力 提供声明文件。 4）具有依法缴纳税收的良好记录 提供2024年1月至今任意一个月的（磋商截止时间当月不计入）的增值税（或所得税）缴费凭据或税务机关出具的完税证明/在法规范围内不需提供的应出具书面说明和证明文件。 5）具有依法缴纳社会保障资金的良好记录 提供缴费所属日期为提供2024年1月至今至少一个月（磋商截止时间当月不计入）的缴费凭据或社保机关出具的缴费证明/在法规范围内不需提供的应出具书面说明和证明文件。 6）参加政府采购活动前3年内在经营活动中没有重大违法记录的书面声明。 7）法人代表授权书。</w:t>
            </w:r>
          </w:p>
        </w:tc>
        <w:tc>
          <w:tcPr>
            <w:tcW w:type="dxa" w:w="1661"/>
          </w:tcPr>
          <w:p>
            <w:pPr>
              <w:pStyle w:val="null3"/>
            </w:pPr>
            <w:r>
              <w:rPr>
                <w:rFonts w:ascii="仿宋_GB2312" w:hAnsi="仿宋_GB2312" w:cs="仿宋_GB2312" w:eastAsia="仿宋_GB2312"/>
              </w:rPr>
              <w:t>资格证明文件格式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 本项目专门面向中小企业采购（提供符合《政府采购促进中小企业发展管理办法》（财库﹝2020﹞46号）文件要求的中小企业声明函原件）。 说明：残疾人福利性单位和监狱企业视同小型、微型企业，若残疾人福利性单位参与投标的须提供符合《财政部 民政部 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资格证明文件格式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 本项目专门面向中小企业采购（提供符合《政府采购促进中小企业发展管理办法》（财库﹝2020﹞46号）文件要求的中小企业声明函原件）。 说明：残疾人福利性单位和监狱企业视同小型、微型企业，若残疾人福利性单位参与投标的须提供符合《财政部 民政部 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资格证明文件格式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符合性检查 磋商响应文件的完整性审查。 磋商响应文件是否按照磋商文件要求的格式编写； 磋商响应文件的有效性审查。 磋商响应文件的签署、加盖印章是否有效；提供的各种证明文件、数据、资料是否有效。 磋商响应文件的响应性审查。 磋商报价是否超过采购预算； 磋商报价是否低于成本价，涉嫌不正当竞争；（如果评委会认为某磋商报价明显不合理或者低于成本，应当要求其在规定期限内提供书面文件予以解释说明，并提交相关证明材料。） 磋商报价有效期是否符合磋商文件的要求；</w:t>
            </w:r>
          </w:p>
        </w:tc>
        <w:tc>
          <w:tcPr>
            <w:tcW w:type="dxa" w:w="1661"/>
          </w:tcPr>
          <w:p>
            <w:pPr>
              <w:pStyle w:val="null3"/>
            </w:pPr>
            <w:r>
              <w:rPr>
                <w:rFonts w:ascii="仿宋_GB2312" w:hAnsi="仿宋_GB2312" w:cs="仿宋_GB2312" w:eastAsia="仿宋_GB2312"/>
              </w:rPr>
              <w:t>响应文件封面 服务内容及服务邀请应答表 资格证明文件格式 非联合体响应声明函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符合性检查 磋商响应文件的完整性审查。 磋商响应文件是否按照磋商文件要求的格式编写； 磋商响应文件的有效性审查。 磋商响应文件的签署、加盖印章是否有效；提供的各种证明文件、数据、资料是否有效。 磋商响应文件的响应性审查。 磋商报价是否超过采购预算； 磋商报价是否低于成本价，涉嫌不正当竞争；（如果评委会认为某磋商报价明显不合理或者低于成本，应当要求其在规定期限内提供书面文件予以解释说明，并提交相关证明材料。） 磋商报价有效期是否符合磋商文件的要求；</w:t>
            </w:r>
          </w:p>
        </w:tc>
        <w:tc>
          <w:tcPr>
            <w:tcW w:type="dxa" w:w="1661"/>
          </w:tcPr>
          <w:p>
            <w:pPr>
              <w:pStyle w:val="null3"/>
            </w:pPr>
            <w:r>
              <w:rPr>
                <w:rFonts w:ascii="仿宋_GB2312" w:hAnsi="仿宋_GB2312" w:cs="仿宋_GB2312" w:eastAsia="仿宋_GB2312"/>
              </w:rPr>
              <w:t>响应文件封面 服务内容及服务邀请应答表 资格证明文件格式 非联合体响应声明函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响应产品技术参数清晰、明确，满足或优于磋商文件要求根据技术参数响应程度，由磋商小组综合评审，每偏离一项扣1分，扣完为止。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由磋商小组综合评审，根据服务要求提供针对性强且科学完善的项目实施方案，1、方案详细、合理、全面、可操作性强，满足磋商文件要求得30分～20分。 2、实施方案较为完整，针对性较强，基本满足磋商文件要求，得19.9分～10分。 3、实施方案有明显缺陷，针对性较差，在项目实施过程中可能存在工作不到位、较难满足采购人实际需求得9.9分～0分。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针对本项目人员组织安排、岗位设置、职责、责任分工、人员配备合理性等方面，由磋商小组横向比较，综合评审。 1、各岗位人员人数、职责分工，根据项目实际情况安排合理、高效的， 根据响应情况得20分～13分； 2、各岗位人员人数、职责分工，根据岗位需求安排基本合理的，根据响应情况得12.9分～7分； 3、各岗位人员人数、职责分工，根据岗位需求安排不够合理，不能完全满足采购人需求；根据响应情况得6.9分～0分； 以上要求内容未提供的，不得分。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针对本项目质量保证措施方案（含服务期限内出现安全隐患及满意度下降等情况时的处罚办法）。 1、有具体可行的质量保证措施，方案具体、完整、可操作性强，15分～10分； 2、方案较完整，质量保证措施内容明确，可基本保证质量保证需求，根据响应情况得9.9分～5分； 3、方案有明显缺漏项，不能完全保证服务期内质量保证需求，可操作性较差，4.9分～0分。 以上要求内容未提供的，不得分。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1、方案细致可行、有针对性，根据响应情况得7分～10分。 2、方案较详细，基本满足采购人要求，根据响应情况得3分～6.9分。 3、方案粗略，较难满足采购人实际需求，根据响应情况得0分～2.9分。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供应商提供近三年承担过（2022年1月1日起至今，以合同签订时间为准）同类项目业绩（业绩以合同为准），每提供一个有效业绩得1分，最高计至5分。 注：提供合同复印件且加盖供应商公章。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供应商综合能力和信誉等</w:t>
            </w:r>
          </w:p>
        </w:tc>
        <w:tc>
          <w:tcPr>
            <w:tcW w:type="dxa" w:w="2492"/>
          </w:tcPr>
          <w:p>
            <w:pPr>
              <w:pStyle w:val="null3"/>
            </w:pPr>
            <w:r>
              <w:rPr>
                <w:rFonts w:ascii="仿宋_GB2312" w:hAnsi="仿宋_GB2312" w:cs="仿宋_GB2312" w:eastAsia="仿宋_GB2312"/>
              </w:rPr>
              <w:t>根据供应商综合能力赋分（提供供应商简介、财务状况、所获荣誉等证明供应商能力的证明文件），根据响应情况赋0-5分。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1.即满足磋商文件要求且最后报价最低的供应商的价格为磋商基准价，其价格分为满分。 2.其他供应商的价格分按照以下公式计算：磋商报价得分=(磋商基准价/最后磋商报价)*10。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响应产品技术参数清晰、明确，满足或优于磋商文件要求根据技术参数响应程度，由磋商小组综合评审，每偏离一项扣1分，扣完为止。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由磋商小组综合评审，根据服务要求提供针对性强且科学完善的项目实施方案，1、方案详细、合理、全面、可操作性强，满足磋商文件要求得30分～20分。 2、实施方案较为完整，针对性较强，基本满足磋商文件要求，得19.9分～10分。 3、实施方案有明显缺陷，针对性较差，在项目实施过程中可能存在工作不到位、较难满足采购人实际需求得9.9分～0分。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针对本项目人员组织安排、岗位设置、职责、责任分工、人员配备合理性等方面，由磋商小组横向比较，综合评审。 1、各岗位人员人数、职责分工，根据项目实际情况安排合理、高效的， 根据响应情况得20分～13分； 2、各岗位人员人数、职责分工，根据岗位需求安排基本合理的，根据响应情况得12.9分～7分； 3、各岗位人员人数、职责分工，根据岗位需求安排不够合理，不能完全满足采购人需求；根据响应情况得6.9分～0分； 以上要求内容未提供的，不得分。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针对本项目质量保证措施方案（含服务期限内出现安全隐患及满意度下降等情况时的处罚办法）。 1、有具体可行的质量保证措施，方案具体、完整、可操作性强，15分～10分； 2、方案较完整，质量保证措施内容明确，可基本保证质量保证需求，根据响应情况得9.9分～5分； 3、方案有明显缺漏项，不能完全保证服务期内质量保证需求，可操作性较差，4.9分～0分。 以上要求内容未提供的，不得分。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1、方案细致可行、有针对性，根据响应情况得7分～10分。 2、方案较详细，基本满足采购人要求，根据响应情况得3分～6.9分。 3、方案粗略，较难满足采购人实际需求，根据响应情况得0分～2.9分。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供应商提供近三年承担过（2022年1月1日起至今，以合同签订时间为准）同类项目业绩（业绩以合同为准），每提供一个有效业绩得1分，最高计至5分。 注：提供合同复印件且加盖供应商公章。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供应商综合能力和信誉等</w:t>
            </w:r>
          </w:p>
        </w:tc>
        <w:tc>
          <w:tcPr>
            <w:tcW w:type="dxa" w:w="2492"/>
          </w:tcPr>
          <w:p>
            <w:pPr>
              <w:pStyle w:val="null3"/>
            </w:pPr>
            <w:r>
              <w:rPr>
                <w:rFonts w:ascii="仿宋_GB2312" w:hAnsi="仿宋_GB2312" w:cs="仿宋_GB2312" w:eastAsia="仿宋_GB2312"/>
              </w:rPr>
              <w:t>根据供应商综合能力赋分（提供供应商简介、财务状况、所获荣誉等证明供应商能力的证明文件），根据响应情况赋0-5分。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1.即满足磋商文件要求且最后报价最低的供应商的价格为磋商基准价，其价格分为满分。 2.其他供应商的价格分按照以下公式计算：磋商报价得分=(磋商基准价/最后磋商报价)*10。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详见附件：非联合体响应声明函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详见附件：资格证明文件格式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详见附件：非联合体响应声明函</w:t>
      </w:r>
    </w:p>
    <w:p>
      <w:pPr>
        <w:pStyle w:val="null3"/>
        <w:ind w:firstLine="960"/>
      </w:pPr>
      <w:r>
        <w:rPr>
          <w:rFonts w:ascii="仿宋_GB2312" w:hAnsi="仿宋_GB2312" w:cs="仿宋_GB2312" w:eastAsia="仿宋_GB2312"/>
        </w:rPr>
        <w:t>详见附件：资格证明文件格式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