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版本号：DXZB-2025-075220250731001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机房核心设备及全院网络维保项目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DXZB-2025-0752</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机房核心设备及全院网络维保项目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DXZB-2025-0752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机房核心设备及全院网络维保项目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随着医院信息化建设的持续进步，医院的核心业务系统如HIS、LIS、PACS等对网络的依赖性日益增强，对网络的稳 定性、连续性和可靠性提出了更为严格的要求。目前，医院网络设备面临老化问题，部分交换机和路由器的使用年限已较长，导致故障率逐渐上升，这可能引发网络中断，从而影响门诊挂号、电子病历查阅、影像资料传输等关键业务的连续性。医院现有的运维团队在负责数据中心和信息系统的维护工作的同时，难以实现对网络的全天候实时监控和即时响应。 为了保障网络的稳定、安全和高效运行，以及硬件设备的稳定运作，我们计划引入专业的网络运维服务团队，负责对全院网络设备进行定期的巡检、故障排查和维护工作，并建立备件库以确保故障发生时能够迅速更换部件。此外，我们还将升级网络安全设备和防护策略，并构建网络运维监控平台，实现对网络流量和设备状态的实时监控与预警，以提升运维效率 和故障处理速度，确保医院网络能够持续稳定地支持医疗业务的高效运行。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采购包1（西安市儿童医院机房核心设备及全院网络维保项目）：属于专门面向中小企业采购。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主体查询：截止竞争性磋商响应文件递交截止时间之前，供应商不得在“信用中国”网站（www.creditchina.gov.cn）中被列入失信被执行人、或被列入异常经营名录及重大税收违法失信主体、“中国政府采购网(www.ccgp.gov.cn)” 未被列入政府采购严重违法失信行为记录名单；</w:t>
      </w:r>
    </w:p>
    <w:p>
      <w:pPr>
        <w:pStyle w:val="null3"/>
      </w:pPr>
      <w:r>
        <w:rPr>
          <w:rFonts w:ascii="仿宋_GB2312" w:hAnsi="仿宋_GB2312" w:cs="仿宋_GB2312" w:eastAsia="仿宋_GB2312"/>
        </w:rPr>
        <w:t>2、主体资格证明文件：具有独立承担民事责任能力的法人或非法人组织或自然人，提供合法有效的统一社会信用代码的营业执照等证明文件；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3、法定代表人授权书：提供法定代表人授权委托书及被授权人身份证（投标人为法定代表人时，须提交法定代表人证明书）；</w:t>
      </w:r>
    </w:p>
    <w:p>
      <w:pPr>
        <w:pStyle w:val="null3"/>
      </w:pPr>
      <w:r>
        <w:rPr>
          <w:rFonts w:ascii="仿宋_GB2312" w:hAnsi="仿宋_GB2312" w:cs="仿宋_GB2312" w:eastAsia="仿宋_GB2312"/>
        </w:rPr>
        <w:t>4、财务状况：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p>
      <w:pPr>
        <w:pStyle w:val="null3"/>
      </w:pPr>
      <w:r>
        <w:rPr>
          <w:rFonts w:ascii="仿宋_GB2312" w:hAnsi="仿宋_GB2312" w:cs="仿宋_GB2312" w:eastAsia="仿宋_GB2312"/>
        </w:rPr>
        <w:t>5、社会保障资金缴纳证明：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6、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7、书面声明1：具有履行合同所必需的设备和专业技术能力的书面声明；</w:t>
      </w:r>
    </w:p>
    <w:p>
      <w:pPr>
        <w:pStyle w:val="null3"/>
      </w:pPr>
      <w:r>
        <w:rPr>
          <w:rFonts w:ascii="仿宋_GB2312" w:hAnsi="仿宋_GB2312" w:cs="仿宋_GB2312" w:eastAsia="仿宋_GB2312"/>
        </w:rPr>
        <w:t>8、书面声明2：提供参加政府采购活动前三年内，在经营活动中没有重大违法记录书面声明；</w:t>
      </w:r>
    </w:p>
    <w:p>
      <w:pPr>
        <w:pStyle w:val="null3"/>
      </w:pPr>
      <w:r>
        <w:rPr>
          <w:rFonts w:ascii="仿宋_GB2312" w:hAnsi="仿宋_GB2312" w:cs="仿宋_GB2312" w:eastAsia="仿宋_GB2312"/>
        </w:rPr>
        <w:t>9、中小企业声明函：本项目专门面向中小企业采购；须符合财政部工业和信息化部《关于印发〈政府采购促进中小企业发展管理办法〉的通知》（财库〔2020〕46号）规定的中小企业参加，并提供《中小企业声明函》；</w:t>
      </w:r>
    </w:p>
    <w:p>
      <w:pPr>
        <w:pStyle w:val="null3"/>
      </w:pPr>
      <w:r>
        <w:rPr>
          <w:rFonts w:ascii="仿宋_GB2312" w:hAnsi="仿宋_GB2312" w:cs="仿宋_GB2312" w:eastAsia="仿宋_GB2312"/>
        </w:rPr>
        <w:t>10、非联合体投标声明：本项目不接受联合体投标。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赵恬钰、周菊、王清玺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关于印发《招标代理服务收费管理暂行办法》的通知（审计价格〔2002〕1980号）、《国家发展和改革委员会办公厅关于招标代理服务收费有关问题的通知》（发改办价格〔2003〕857号）规定标准下浮20%，向成交供应商收取。 （2）在领取成交通知书前由成交单位向陕西德信招标有限公司缴纳代理服务费。成交服务费账户： 开户名称：陕西德信招标有限公司 开户银行：西安银行东二环南段支行 账号：209011580000073440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符合国家、行业标准，以及采购人需求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联系人：赵恬钰、周菊、王清玺</w:t>
      </w:r>
    </w:p>
    <w:p>
      <w:pPr>
        <w:pStyle w:val="null3"/>
      </w:pPr>
      <w:r>
        <w:rPr>
          <w:rFonts w:ascii="仿宋_GB2312" w:hAnsi="仿宋_GB2312" w:cs="仿宋_GB2312" w:eastAsia="仿宋_GB2312"/>
        </w:rPr>
        <w:t>联系电话：029-82694900转8014</w:t>
      </w:r>
    </w:p>
    <w:p>
      <w:pPr>
        <w:pStyle w:val="null3"/>
      </w:pPr>
      <w:r>
        <w:rPr>
          <w:rFonts w:ascii="仿宋_GB2312" w:hAnsi="仿宋_GB2312" w:cs="仿宋_GB2312" w:eastAsia="仿宋_GB2312"/>
        </w:rPr>
        <w:t>地址：陕西省西安市雁塔区南二环东段凯森盛世B座四层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医院信息化建设的持续进步，医院的核心业务系统如HIS、LIS、PACS等对网络的依赖性日益增强，对网络的稳定性、连续性和可靠性提出了更为严格的要求。目前，医院网络设备面临老化问题，部分交换机和路由器的使用年限已较长，导致故障率逐渐上升，这可能引发网络中断，从而影响门诊挂号、电子病历查阅、影像资料传输等关键业务的连续性。医院现有的运维团队在负责数据中心和信息系统的维护工作的同时，难以实现对网络的全天候实时监控和即时响应。为了保障网络的稳定、安全和高效运行，以及硬件设备的稳定运作，我们计划引入专业的网络运维服务团队，负责对全院网络设备进行定期的巡检、故障排查和维护工作，并建立备件库以确保故障发生时能够迅速更换部件。此外，我们还将升级网络安全设备和防护策略，并构建网络运维监控平台，实现对网络流量和设备状态的实时监控与预警，以提升运维效率和故障处理速度，确保医院网络能够持续稳定地支持医疗业务的高效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机房及全院网络维保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标的名称：机房及全院网络维保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一、整体服务内容：（包括工作区域、工作内容等）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1、过保设备的质保及技术支持服务；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2、三人5*8小时的驻场服务；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3、终端运维服务；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4、网络安全服务；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5、备件服务；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6、楼层弱电间及核心机房环境梳理；</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7、零星布线施工服务。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二、技术要求：（包括对产品的、检验报告等）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软件功能性要求：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2.1、提供对过保设备的质保及技术支持服务；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2.2、提供不少于7人运维团队，其中1名项目经理，3名驻场人员，3名二线工程师；</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①提供3人，5*8小时驻场服务,驻场工程师需具备3年以上工作经验；</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②驻场工程师加入到医院组织，为医院提供现场驻场服务，负责对设备的正常运行提供保障，并及时处理和排查故障，通过综合判断能力准确定位问题所在；</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③驻场人员根据工作需要接受医院调派；</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7*24小时业务稳定运行保障，对服务范围内的网络系统、安全系统、计算与存储系统、操作系统、虚拟化平台等提供设备级维保服务。通过专业设备维保服务、完备的备品备件保障医院的业务系统能稳定、可靠、高效的运行，持续提高西安市儿童医院数据中心机房IT基础设施的稳定性和运行能力；</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2.4、对网络系统、安全系统、计算与存储系统、操作系统、虚拟化平台等各类问题提供技术支持；通过技术培训，提升IT部门现场技术人员的技术水平；</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根据业务需要，提供运维驻场服务和巡检服务，建立技术支持服务保障体系，降低管理IT服务的风险，切实保障运维质量与效率。IT部门人员集中精力发展医院信息化的管理工作；提供每周≥1次的硬件设备运行情况检查，形成巡检记录。巡检记录包括但不限于有双方签字的纸质版记录、巡检照片等，具体形式与内容需满足甲方内部管理制度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①确保系统正常运行的各类数据资源的安全性；②定期备份重要业务系统数据库，并检查其可用性；③实时监控业务系统运行情况，更新系统补丁；④从保密性、完整性、可用性、真实性四方面确保数据安全；</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2.7、对医院现有35个楼层配线间进项线缆梳理、标签标记、除尘等，并建立楼层配线间容量管理档案（包括不限于可提供供电资源、光纤可用资源、机柜空间可用资源等）；</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2.8、协助医院对现有的各类信息化资产（交换机、服务器、安全设备、存储设备、操作系统、中间件、数据库、业务、业务访问逻辑等）进行梳理，建立完备的资产档案；</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2.9、基于对医院资产的梳理，充分了解医院的网络、安全架构，依据医院的评级及等保2.0的要求，对网络安全架构进行优化、策略精细化配置，全面提升医院的网络安全可靠性、健壮性及安全性；</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2.10、①基于医院对网络安全的迫切需要，每月对医院内外网业务进行一次全面的安全渗透测试服务（每次持续一周），主动发现现有系统存在的安全漏洞，协助医院进行漏洞修复，以及漏洞修复后的复测工作，全面提升医院的整体安全防护能力。</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②护网服务：依据医院要求，在公安部门组织的护网期间提供现场值守服务；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2.11、对西门院区过保的安全设备提供为期一年的特征库升级服务；</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2.12、根据需求提供现场备件清单；</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2.13、提供全年零星布线施工服务(单次3000元以下的布线工程)；</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2.14、需带有相应的运维管理平台，对服务器、存储、网络、超融合、虚拟化等设备，及业务数据流的监控、保障业务发生故障时候能迅速定位故障点。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2.15、重大变更和重点时段保障支持：在重大系统变更和重点时段保障期间，服务提供方应提前30个日历日开展系统健康检查，协助采购人实施参数调整和性能优化。投标方需承诺配合支持采购方完成等级保护测评等工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2.16、培训：为医院相关工作人员提供≥20小时/年系统运行维护培训。形成培训记录，并有双方签字确认。同时根据甲方实际培训需求，需承担甲方不多于4位参加相关行业培训学习经费。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2.17、应急服务：当采购单位网络及网络安全出现中断或无法正常运转时，1小时内恢复。如超过1小时应及时与采购单位沟通，并且采取相应的应急措施，确保业务顺畅运行；提供网络灾难或故障的应急演练服务，包括但不限于链路攻击维护、核心设备更换和线路切换等；协助采购单位参与“国家网络安全攻防演练活动”，并完成安全漏洞修复，提升采购单位整体网络安全水平。</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2.18、驻场运维人员需配合院内终端软硬件问题排查工作。</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2.19、需提供运维管理监控服务系统，主要功能包含运维监控大屏、运维工作中心、IT资源监控、有线网络管理、无线监控、业务监控、日志监控、配置备份、IP地址管理等功能，能够对网络设备、安全设备、服务器设备、存储设备、数据库、操作系统、中间件、虚拟化平台等，实现全院IT设备统一监控和统一预警，实现全院网络架构可视、业务可视化以及IT资源可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拟投入本项目人员满足项目实施要求，人员安排具体、分工责任明确，管理方案合理。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有完成本项目服务所需的设备，所提供设备能够满足服务需求。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通过供应商按月提供巡检报告，分析服务范围内设备系统健康状况，提供相应处理意见；按次完成故障处理报告等方式进行项目评估和终验，并在验收报告上签署验收意见。其他内容按照现行的国家标准或国家行政部门颁布的法律法规、规章制度等，没有国家标准的可参考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合同签订后，服务满6个月，考核服务合格后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服务结束后，考核服务合格后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具体内容待双方签订合同时确定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截止竞争性磋商响应文件递交截止时间之前，供应商不得在“信用中国”网站（www.creditchina.gov.cn）中被列入失信被执行人、或被列入异常经营名录及重大税收违法失信主体、“中国政府采购网(www.ccgp.gov.cn)” 未被列入政府采购严重违法失信行为记录名单；</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提供法定代表人授权委托书及被授权人身份证（投标人为法定代表人时，须提交法定代表人证明书）；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投标截止日前半年内任意一个月的财务报表（至少应包含资产负债表、利润表和现金流量表）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书面声明1</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书面声明2</w:t>
            </w:r>
          </w:p>
        </w:tc>
        <w:tc>
          <w:tcPr>
            <w:tcW w:type="dxa" w:w="3322"/>
          </w:tcPr>
          <w:p>
            <w:pPr>
              <w:pStyle w:val="null3"/>
            </w:pPr>
            <w:r>
              <w:rPr>
                <w:rFonts w:ascii="仿宋_GB2312" w:hAnsi="仿宋_GB2312" w:cs="仿宋_GB2312" w:eastAsia="仿宋_GB2312"/>
              </w:rPr>
              <w:t>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本项目专门面向中小企业采购；须符合财政部工业和信息化部《关于印发〈政府采购促进中小企业发展管理办法〉的通知》（财库〔2020〕46号）规定的中小企业参加，并提供《中小企业声明函》；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项目业绩表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提供针对医院设备、系统现状及服务内容编写运维服务方案，包括但不限于①医院现状及服务要求的理解；②技术服务方案；③人员配备；④服务流程；⑤配套设施配备，进行综合评审，以上5项内容为专门针对本项目编制，完全符合本项目实际情况，能够完全保障项目顺利实施的得20分，每有一项内容缺项或不满足需求或含有采购人不能接受的内容扣4分，每有一项内容存在缺陷扣0.5-3.5分，扣完为止。说明：缺陷是指项目需求不匹配；不能完全满足项目实施要求；其他不利于项目实施的情况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针对本项目实施的重点、难点及突发事件有相应的解决方案、应急方案，达到服务标准。包括日常管理、设备维护等，整体项目符合相关国家行业标准，在重大节假日有明确的维保服务措施及承诺。 根据内容详细全面、合理可行得6分； 内容较为全面、较为合理可行得3分； 内容不够完整、合理性不足得1分；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投标人提供针对本项目的备品备件库，包括但不限于①备品备件计划；②备品备件送达时间承诺；③备品备件库的设置，进行综合评审，以上3项内容为专门针对本项目编制，完全符合本项目实际情况，能够完全保障项目顺利实施的得12分，每有一项内容缺项或不满足需求或含有采购人不能接受的内容扣4分，每有一项内容存在缺陷扣0.5-3.5分；扣完为止。说明：缺陷是指项目需求不匹配；不能完全满足项目实施要求；其他不利于项目实施的情况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维护管理</w:t>
            </w:r>
          </w:p>
        </w:tc>
        <w:tc>
          <w:tcPr>
            <w:tcW w:type="dxa" w:w="2492"/>
          </w:tcPr>
          <w:p>
            <w:pPr>
              <w:pStyle w:val="null3"/>
            </w:pPr>
            <w:r>
              <w:rPr>
                <w:rFonts w:ascii="仿宋_GB2312" w:hAnsi="仿宋_GB2312" w:cs="仿宋_GB2312" w:eastAsia="仿宋_GB2312"/>
              </w:rPr>
              <w:t>供应商针对本项目应建立完善的运行维护管理体系，提供运行维护管理工具与措施，确保系统运行可靠、稳定，确保系统性能充分发挥。 根据内容详细全面、合理可行得6分； 内容较为全面、较为合理可行得3分； 内容不够完整、合理性不足得1分；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投标人提供团队运维人员方案，包括但不限于①人员组织结构；②配备人员简历；③人员职责分工；④团队管理制度，进行综合评审，以上4项内容为专门针对本项目编制，完全符合本项目实际情况，能够完全保障项目顺利实施的得16分，每有一项内容缺项或不满足需求或含有采购人不能接受的内容扣4分，每有一项内容存在缺陷扣0.5-3.5分，扣完为止。说明：缺陷是指项目需求不匹配；不能完全满足项目实施要求；其他不利于项目实施的情况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1、投标商证书： 1）ISO9001质量管理体系认证，得1.0分； 2）ISO20000信息技术服务管理体系认证证书，得1.0分； 3）ISO27001信息安全管理体系认证证书，得1.0分； 4）ITSS信息技术服务运行维护标准符合性三级及以上证书得2.0分。 2、项目团队人员证书 5）项目团队至少7人具备CISP证书，得1分； 6）项目经理1人具备ITSS 项目服务经理认证证书，得1.0分。 注：提供相关证书证明材料复印件（加盖公章），未提供不得分。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提供2022年6月1日至今同类维保服务项目业绩案例（以合同复印件加盖公章为准），每提供1个有效业绩得1分，满分6分。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针对本项目保密工作提供具体措施，包括但不限于：保密措施、保密管理制度、保密档案管理措施、保密人员及职责。 根据内容详细全面、合理可行得6分； 内容较为全面、较为合理可行得3分； 内容不够完整、合理性不足得1分；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基础知识和维护方法的现场、集中培训方案，包括但不限于①培训地点；②培训人数；③培训内容等，进行综合评审，以上3项内容为专门针对本项目编制，完全符合本项目实际情况，能够完全保障项目顺利实施的得9分，每有一项内容缺项或不满足需求或含有采购人不能接受的内容扣3分，每有一项内容存在缺陷扣0.5-2.5分，扣完为止。说明：缺陷是指项目需求不匹配；不能完全满足项目实施要求；其他不利于项目实施的情况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提供针对本项目后期使用中的合理化建议，根据建议的可行性计0-2分。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标基准价，其价格分为满分。其他供应商的价格分统一按照下列公式计算：磋商报价得分=（评标基准价/磋商报价）×价格权值×100。因本项目专门面向中小企业，不再进行小微企业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详见附件：项目业绩表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