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A39B">
      <w:pPr>
        <w:rPr>
          <w:rFonts w:ascii="仿宋_GB2312" w:eastAsia="仿宋_GB2312"/>
        </w:rPr>
      </w:pPr>
      <w:r>
        <w:rPr>
          <w:rFonts w:hint="eastAsia" w:ascii="仿宋_GB2312" w:eastAsia="仿宋_GB2312"/>
        </w:rPr>
        <w:t>参考文本</w:t>
      </w:r>
    </w:p>
    <w:p w14:paraId="3466A141">
      <w:pPr>
        <w:spacing w:line="360" w:lineRule="auto"/>
        <w:ind w:right="-239" w:rightChars="-114"/>
        <w:rPr>
          <w:rFonts w:ascii="仿宋_GB2312" w:hAnsi="仿宋_GB2312" w:eastAsia="仿宋_GB2312" w:cs="仿宋_GB2312"/>
          <w:b/>
          <w:sz w:val="24"/>
        </w:rPr>
      </w:pPr>
      <w:r>
        <w:rPr>
          <w:rFonts w:hint="eastAsia" w:ascii="仿宋_GB2312" w:hAnsi="仿宋_GB2312" w:eastAsia="仿宋_GB2312" w:cs="仿宋_GB2312"/>
          <w:b/>
          <w:sz w:val="24"/>
        </w:rPr>
        <w:t>甲方:</w:t>
      </w:r>
    </w:p>
    <w:p w14:paraId="20B98BCC">
      <w:pPr>
        <w:spacing w:line="360" w:lineRule="auto"/>
        <w:ind w:right="-239" w:rightChars="-114"/>
        <w:rPr>
          <w:rFonts w:ascii="仿宋_GB2312" w:hAnsi="仿宋_GB2312" w:eastAsia="仿宋_GB2312" w:cs="仿宋_GB2312"/>
          <w:b/>
          <w:sz w:val="24"/>
        </w:rPr>
      </w:pPr>
      <w:r>
        <w:rPr>
          <w:rFonts w:hint="eastAsia" w:ascii="仿宋_GB2312" w:hAnsi="仿宋_GB2312" w:eastAsia="仿宋_GB2312" w:cs="仿宋_GB2312"/>
          <w:b/>
          <w:sz w:val="24"/>
        </w:rPr>
        <w:t>乙方:</w:t>
      </w:r>
    </w:p>
    <w:p w14:paraId="7F4352FB">
      <w:pPr>
        <w:pStyle w:val="10"/>
        <w:numPr>
          <w:ilvl w:val="0"/>
          <w:numId w:val="1"/>
        </w:numPr>
        <w:spacing w:line="360" w:lineRule="auto"/>
        <w:ind w:left="0" w:right="-239" w:rightChars="-114" w:firstLine="18" w:firstLineChars="0"/>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合同内容：</w:t>
      </w:r>
    </w:p>
    <w:p w14:paraId="50FF6626">
      <w:pPr>
        <w:pStyle w:val="10"/>
        <w:spacing w:line="360" w:lineRule="auto"/>
        <w:ind w:left="143" w:leftChars="68" w:right="-239" w:rightChars="-114" w:firstLine="470" w:firstLineChars="196"/>
        <w:rPr>
          <w:rFonts w:ascii="仿宋_GB2312" w:hAnsi="仿宋_GB2312" w:eastAsia="仿宋_GB2312" w:cs="仿宋_GB2312"/>
          <w:sz w:val="24"/>
          <w:szCs w:val="24"/>
        </w:rPr>
      </w:pPr>
      <w:r>
        <w:rPr>
          <w:rFonts w:hint="eastAsia" w:ascii="仿宋_GB2312" w:hAnsi="仿宋_GB2312" w:eastAsia="仿宋_GB2312" w:cs="仿宋_GB2312"/>
          <w:sz w:val="24"/>
          <w:szCs w:val="24"/>
        </w:rPr>
        <w:t>西安市市政设施管理中心</w:t>
      </w:r>
      <w:r>
        <w:rPr>
          <w:rFonts w:hint="eastAsia" w:eastAsia="仿宋_GB2312"/>
          <w:kern w:val="0"/>
          <w:sz w:val="24"/>
          <w:u w:val="none"/>
          <w:lang w:val="en-US" w:eastAsia="zh-CN"/>
        </w:rPr>
        <w:t>人行</w:t>
      </w:r>
      <w:r>
        <w:rPr>
          <w:rFonts w:hint="eastAsia" w:eastAsia="仿宋_GB2312"/>
          <w:kern w:val="0"/>
          <w:sz w:val="24"/>
          <w:u w:val="none"/>
          <w:lang w:val="zh-CN" w:eastAsia="zh-CN"/>
        </w:rPr>
        <w:t>通道所地下通道监控系统、应急电源系统维</w:t>
      </w:r>
      <w:r>
        <w:rPr>
          <w:rFonts w:hint="eastAsia" w:eastAsia="仿宋_GB2312"/>
          <w:kern w:val="0"/>
          <w:sz w:val="24"/>
          <w:u w:val="none"/>
          <w:lang w:val="en-US" w:eastAsia="zh-CN"/>
        </w:rPr>
        <w:t>护</w:t>
      </w:r>
      <w:r>
        <w:rPr>
          <w:rFonts w:hint="eastAsia" w:ascii="仿宋_GB2312" w:hAnsi="仿宋_GB2312" w:eastAsia="仿宋_GB2312" w:cs="仿宋_GB2312"/>
          <w:sz w:val="24"/>
          <w:szCs w:val="24"/>
        </w:rPr>
        <w:t>项目:1</w:t>
      </w:r>
      <w:r>
        <w:rPr>
          <w:rFonts w:hint="eastAsia" w:ascii="仿宋_GB2312" w:hAnsi="仿宋_GB2312" w:eastAsia="仿宋_GB2312" w:cs="仿宋_GB2312"/>
          <w:sz w:val="24"/>
          <w:szCs w:val="24"/>
          <w:lang w:val="en-US" w:eastAsia="zh-CN"/>
        </w:rPr>
        <w:t>7</w:t>
      </w:r>
      <w:r>
        <w:rPr>
          <w:rFonts w:hint="eastAsia" w:ascii="仿宋_GB2312" w:hAnsi="仿宋_GB2312" w:eastAsia="仿宋_GB2312" w:cs="仿宋_GB2312"/>
          <w:sz w:val="24"/>
          <w:szCs w:val="24"/>
        </w:rPr>
        <w:t>座地下通道内的</w:t>
      </w:r>
      <w:r>
        <w:rPr>
          <w:rFonts w:hint="eastAsia" w:eastAsia="仿宋_GB2312"/>
          <w:kern w:val="0"/>
          <w:sz w:val="24"/>
          <w:u w:val="none"/>
          <w:lang w:val="zh-CN" w:eastAsia="zh-CN"/>
        </w:rPr>
        <w:t>监控系统、应急电源系统维</w:t>
      </w:r>
      <w:r>
        <w:rPr>
          <w:rFonts w:hint="eastAsia" w:eastAsia="仿宋_GB2312"/>
          <w:kern w:val="0"/>
          <w:sz w:val="24"/>
          <w:u w:val="none"/>
          <w:lang w:val="en-US" w:eastAsia="zh-CN"/>
        </w:rPr>
        <w:t>护</w:t>
      </w:r>
      <w:r>
        <w:rPr>
          <w:rFonts w:hint="eastAsia" w:ascii="仿宋_GB2312" w:hAnsi="仿宋_GB2312" w:eastAsia="仿宋_GB2312" w:cs="仿宋_GB2312"/>
          <w:sz w:val="24"/>
          <w:szCs w:val="24"/>
        </w:rPr>
        <w:t>保养、设备应急抢修更换、监控设备升级改造。</w:t>
      </w:r>
    </w:p>
    <w:p w14:paraId="7C991138">
      <w:pPr>
        <w:pStyle w:val="10"/>
        <w:numPr>
          <w:ilvl w:val="0"/>
          <w:numId w:val="1"/>
        </w:numPr>
        <w:spacing w:line="360" w:lineRule="auto"/>
        <w:ind w:left="0" w:right="-239" w:rightChars="-114" w:firstLine="18" w:firstLineChars="0"/>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合同价款</w:t>
      </w:r>
    </w:p>
    <w:p w14:paraId="49A867D0">
      <w:pPr>
        <w:pStyle w:val="10"/>
        <w:numPr>
          <w:ilvl w:val="0"/>
          <w:numId w:val="2"/>
        </w:numPr>
        <w:spacing w:line="360" w:lineRule="auto"/>
        <w:ind w:left="426" w:right="-239" w:rightChars="-114" w:hanging="59"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合同总价：</w:t>
      </w:r>
    </w:p>
    <w:p w14:paraId="7886DA4A">
      <w:pPr>
        <w:pStyle w:val="10"/>
        <w:numPr>
          <w:ilvl w:val="0"/>
          <w:numId w:val="2"/>
        </w:numPr>
        <w:spacing w:line="360" w:lineRule="auto"/>
        <w:ind w:left="426" w:right="-239" w:rightChars="-114" w:hanging="59"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合同总价包括：</w:t>
      </w:r>
      <w:r>
        <w:rPr>
          <w:rFonts w:hint="eastAsia" w:eastAsia="仿宋_GB2312"/>
          <w:kern w:val="0"/>
          <w:sz w:val="24"/>
          <w:u w:val="none"/>
          <w:lang w:val="zh-CN" w:eastAsia="zh-CN"/>
        </w:rPr>
        <w:t>监控系统、应急电源系统</w:t>
      </w:r>
      <w:r>
        <w:rPr>
          <w:rFonts w:hint="eastAsia" w:ascii="仿宋_GB2312" w:hAnsi="仿宋_GB2312" w:eastAsia="仿宋_GB2312" w:cs="仿宋_GB2312"/>
          <w:sz w:val="24"/>
          <w:szCs w:val="24"/>
        </w:rPr>
        <w:t>维护保养费、配品配件费及其它相关的费用。</w:t>
      </w:r>
    </w:p>
    <w:p w14:paraId="1DB0C90B">
      <w:pPr>
        <w:pStyle w:val="10"/>
        <w:numPr>
          <w:ilvl w:val="0"/>
          <w:numId w:val="2"/>
        </w:numPr>
        <w:spacing w:line="360" w:lineRule="auto"/>
        <w:ind w:left="426" w:right="-239" w:rightChars="-114" w:hanging="59"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合同总价一次包死，不受市场价变化的影响。</w:t>
      </w:r>
    </w:p>
    <w:p w14:paraId="4E23D0ED">
      <w:pPr>
        <w:pStyle w:val="10"/>
        <w:numPr>
          <w:ilvl w:val="0"/>
          <w:numId w:val="1"/>
        </w:numPr>
        <w:spacing w:line="360" w:lineRule="auto"/>
        <w:ind w:left="0" w:right="-239" w:rightChars="-114" w:firstLine="0" w:firstLineChars="0"/>
        <w:rPr>
          <w:rFonts w:ascii="仿宋_GB2312" w:hAnsi="仿宋_GB2312" w:eastAsia="仿宋_GB2312" w:cs="仿宋_GB2312"/>
          <w:b/>
          <w:sz w:val="24"/>
          <w:szCs w:val="24"/>
        </w:rPr>
      </w:pPr>
      <w:r>
        <w:rPr>
          <w:rFonts w:hint="eastAsia" w:ascii="仿宋_GB2312" w:hAnsi="仿宋_GB2312" w:eastAsia="仿宋_GB2312" w:cs="仿宋_GB2312"/>
          <w:b/>
          <w:sz w:val="24"/>
          <w:szCs w:val="24"/>
        </w:rPr>
        <w:t>合同结算</w:t>
      </w:r>
    </w:p>
    <w:p w14:paraId="635DAFCB">
      <w:pPr>
        <w:pStyle w:val="10"/>
        <w:numPr>
          <w:ilvl w:val="0"/>
          <w:numId w:val="0"/>
        </w:numPr>
        <w:spacing w:line="360" w:lineRule="auto"/>
        <w:ind w:left="12" w:leftChars="0" w:right="-239" w:rightChars="-114" w:firstLine="398" w:firstLineChars="166"/>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付款方式:</w:t>
      </w:r>
      <w:r>
        <w:rPr>
          <w:rFonts w:hint="eastAsia" w:ascii="仿宋_GB2312" w:hAnsi="仿宋_GB2312" w:eastAsia="仿宋_GB2312" w:cs="仿宋_GB2312"/>
          <w:sz w:val="24"/>
          <w:szCs w:val="24"/>
          <w:lang w:val="en-US" w:eastAsia="zh-CN"/>
        </w:rPr>
        <w:t>合同签订后，甲方向乙方支付合同总价的50%项目款，合同内容履行完成后结清</w:t>
      </w:r>
      <w:r>
        <w:rPr>
          <w:rFonts w:hint="eastAsia" w:ascii="仿宋_GB2312" w:hAnsi="仿宋_GB2312" w:eastAsia="仿宋_GB2312" w:cs="仿宋_GB2312"/>
          <w:sz w:val="24"/>
          <w:szCs w:val="24"/>
        </w:rPr>
        <w:t>。</w:t>
      </w:r>
    </w:p>
    <w:p w14:paraId="6F11B6E9">
      <w:pPr>
        <w:pStyle w:val="10"/>
        <w:numPr>
          <w:ilvl w:val="0"/>
          <w:numId w:val="0"/>
        </w:numPr>
        <w:spacing w:line="360" w:lineRule="auto"/>
        <w:ind w:left="412" w:leftChars="0" w:right="-239" w:rightChars="-114"/>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结算方式：银行转账。</w:t>
      </w:r>
    </w:p>
    <w:p w14:paraId="237CE9F6">
      <w:pPr>
        <w:pStyle w:val="10"/>
        <w:spacing w:line="360" w:lineRule="auto"/>
        <w:ind w:left="851" w:right="-239" w:rightChars="-114"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开户银行：</w:t>
      </w:r>
    </w:p>
    <w:p w14:paraId="5DBA8B57">
      <w:pPr>
        <w:pStyle w:val="10"/>
        <w:spacing w:line="360" w:lineRule="auto"/>
        <w:ind w:left="851" w:right="-239" w:rightChars="-114"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账号：</w:t>
      </w:r>
    </w:p>
    <w:p w14:paraId="4652485B">
      <w:pPr>
        <w:pStyle w:val="10"/>
        <w:numPr>
          <w:ilvl w:val="0"/>
          <w:numId w:val="0"/>
        </w:numPr>
        <w:spacing w:line="360" w:lineRule="auto"/>
        <w:ind w:left="412" w:leftChars="0" w:right="-239" w:rightChars="-114"/>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结算单位：由西安市市政设施管理中心结算，乙方开具当次支付额的发票交西安市市政设施管理中心。</w:t>
      </w:r>
    </w:p>
    <w:p w14:paraId="3E5ABE9E">
      <w:pPr>
        <w:pStyle w:val="10"/>
        <w:numPr>
          <w:ilvl w:val="0"/>
          <w:numId w:val="1"/>
        </w:numPr>
        <w:spacing w:line="360" w:lineRule="auto"/>
        <w:ind w:left="567"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b/>
          <w:sz w:val="24"/>
          <w:szCs w:val="24"/>
        </w:rPr>
        <w:t>乙方维护地点服务内容：</w:t>
      </w:r>
    </w:p>
    <w:p w14:paraId="63102DCF">
      <w:pPr>
        <w:pStyle w:val="10"/>
        <w:numPr>
          <w:ilvl w:val="0"/>
          <w:numId w:val="3"/>
        </w:numPr>
        <w:spacing w:line="360" w:lineRule="auto"/>
        <w:ind w:right="-239" w:rightChars="-114"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服务地点：钟楼地下通道、南大街地下通道、尙朴路地下通道、东新街地下通道、民生地下通道、火车站地下通道、西京医院地下通道、东门地下通道、端履门地下通道、桥梓口地下通道、竹笆市通道、西门地下通道、八佳巷地下通道、</w:t>
      </w:r>
      <w:r>
        <w:rPr>
          <w:rFonts w:hint="eastAsia" w:ascii="仿宋_GB2312" w:hAnsi="仿宋_GB2312" w:eastAsia="仿宋_GB2312" w:cs="仿宋_GB2312"/>
          <w:sz w:val="24"/>
          <w:szCs w:val="24"/>
          <w:lang w:val="en-US" w:eastAsia="zh-CN"/>
        </w:rPr>
        <w:t>铁塔寺通道、西稍门通道、</w:t>
      </w:r>
      <w:r>
        <w:rPr>
          <w:rFonts w:hint="eastAsia" w:ascii="仿宋_GB2312" w:hAnsi="仿宋_GB2312" w:eastAsia="仿宋_GB2312" w:cs="仿宋_GB2312"/>
          <w:sz w:val="24"/>
          <w:szCs w:val="24"/>
        </w:rPr>
        <w:t>交大一附院地下通道、南门地下通道。</w:t>
      </w:r>
    </w:p>
    <w:p w14:paraId="23150526">
      <w:pPr>
        <w:pStyle w:val="10"/>
        <w:numPr>
          <w:ilvl w:val="0"/>
          <w:numId w:val="3"/>
        </w:numPr>
        <w:spacing w:line="360" w:lineRule="auto"/>
        <w:ind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服务内容：</w:t>
      </w:r>
    </w:p>
    <w:p w14:paraId="45CBCC3D">
      <w:pPr>
        <w:pStyle w:val="10"/>
        <w:numPr>
          <w:ilvl w:val="0"/>
          <w:numId w:val="0"/>
        </w:numPr>
        <w:spacing w:line="360" w:lineRule="auto"/>
        <w:ind w:left="420" w:leftChars="0" w:right="-239" w:rightChars="-114"/>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2.1、</w:t>
      </w:r>
      <w:r>
        <w:rPr>
          <w:rFonts w:hint="eastAsia" w:eastAsia="仿宋_GB2312"/>
          <w:kern w:val="0"/>
          <w:sz w:val="24"/>
          <w:u w:val="none"/>
          <w:lang w:val="zh-CN" w:eastAsia="zh-CN"/>
        </w:rPr>
        <w:t>监控系统</w:t>
      </w:r>
    </w:p>
    <w:p w14:paraId="179E1006">
      <w:pPr>
        <w:pStyle w:val="10"/>
        <w:numPr>
          <w:ilvl w:val="1"/>
          <w:numId w:val="1"/>
        </w:numPr>
        <w:spacing w:line="360" w:lineRule="auto"/>
        <w:ind w:right="-239" w:rightChars="-114" w:firstLineChars="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每月对本次招标项目包含的所有设备保养两次，分别在月中和月末进行，保养内容包含：监控和语音广播做除尘保养，更换老化风扇电容、机柜、控制台、摄像机、电源、线路、各种接头的检查、整理、清理设备灰尘，防止由于机器运转、静电等因素将尘土吸入、吸附在设备上，确保机器正常运行。</w:t>
      </w:r>
    </w:p>
    <w:p w14:paraId="70F565D0">
      <w:pPr>
        <w:pStyle w:val="10"/>
        <w:numPr>
          <w:ilvl w:val="1"/>
          <w:numId w:val="1"/>
        </w:numPr>
        <w:spacing w:line="360" w:lineRule="auto"/>
        <w:ind w:right="-239" w:rightChars="-114" w:firstLineChars="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根据</w:t>
      </w:r>
      <w:r>
        <w:rPr>
          <w:color w:val="auto"/>
        </w:rPr>
        <w:fldChar w:fldCharType="begin"/>
      </w:r>
      <w:r>
        <w:rPr>
          <w:color w:val="auto"/>
        </w:rPr>
        <w:instrText xml:space="preserve"> HYPERLINK "http://wenwen.soso.com/z/Search.e?sp=S%E7%9B%91%E6%8E%A7%E7%B3%BB%E7%BB%9F&amp;ch=w.search.jhlink" \t "_blank" </w:instrText>
      </w:r>
      <w:r>
        <w:rPr>
          <w:color w:val="auto"/>
        </w:rPr>
        <w:fldChar w:fldCharType="separate"/>
      </w:r>
      <w:r>
        <w:rPr>
          <w:rStyle w:val="9"/>
          <w:rFonts w:hint="default" w:ascii="仿宋_GB2312" w:hAnsi="仿宋_GB2312" w:eastAsia="仿宋_GB2312" w:cs="仿宋_GB2312"/>
          <w:color w:val="auto"/>
          <w:sz w:val="24"/>
          <w:szCs w:val="24"/>
          <w:u w:val="none"/>
        </w:rPr>
        <w:t>监控系统</w:t>
      </w:r>
      <w:r>
        <w:rPr>
          <w:rStyle w:val="9"/>
          <w:rFonts w:hint="default" w:ascii="仿宋_GB2312" w:hAnsi="仿宋_GB2312" w:eastAsia="仿宋_GB2312" w:cs="仿宋_GB2312"/>
          <w:color w:val="auto"/>
          <w:sz w:val="24"/>
          <w:szCs w:val="24"/>
          <w:u w:val="none"/>
        </w:rPr>
        <w:fldChar w:fldCharType="end"/>
      </w:r>
      <w:r>
        <w:rPr>
          <w:rFonts w:hint="eastAsia" w:ascii="仿宋_GB2312" w:hAnsi="仿宋_GB2312" w:eastAsia="仿宋_GB2312" w:cs="仿宋_GB2312"/>
          <w:color w:val="auto"/>
          <w:sz w:val="24"/>
          <w:szCs w:val="24"/>
        </w:rPr>
        <w:t>各部份设备的使用说明，每月检测1次各项技术参数、监控和语音广播系统传输线路质量、桌面系统的运行检查、网络及桌面系统的病毒防御，协助甲方设定使用级别等各种数据，确保各部份设备各项功能良好。</w:t>
      </w:r>
    </w:p>
    <w:p w14:paraId="441A1EE6">
      <w:pPr>
        <w:pStyle w:val="10"/>
        <w:numPr>
          <w:ilvl w:val="1"/>
          <w:numId w:val="1"/>
        </w:numPr>
        <w:spacing w:line="360" w:lineRule="auto"/>
        <w:ind w:right="-239" w:rightChars="-114" w:firstLineChars="0"/>
        <w:rPr>
          <w:rFonts w:ascii="仿宋_GB2312" w:hAnsi="仿宋_GB2312" w:eastAsia="仿宋_GB2312" w:cs="仿宋_GB2312"/>
          <w:color w:val="auto"/>
          <w:kern w:val="0"/>
          <w:sz w:val="24"/>
          <w:szCs w:val="24"/>
        </w:rPr>
      </w:pPr>
      <w:r>
        <w:rPr>
          <w:rFonts w:hint="eastAsia" w:ascii="仿宋_GB2312" w:hAnsi="仿宋_GB2312" w:eastAsia="仿宋_GB2312" w:cs="仿宋_GB2312"/>
          <w:color w:val="auto"/>
          <w:sz w:val="24"/>
          <w:szCs w:val="24"/>
        </w:rPr>
        <w:t>每次维护保养均需有书面记录，</w:t>
      </w:r>
      <w:r>
        <w:rPr>
          <w:rFonts w:hint="eastAsia" w:ascii="仿宋_GB2312" w:hAnsi="仿宋_GB2312" w:eastAsia="仿宋_GB2312" w:cs="仿宋_GB2312"/>
          <w:color w:val="auto"/>
          <w:kern w:val="0"/>
          <w:sz w:val="24"/>
          <w:szCs w:val="24"/>
        </w:rPr>
        <w:t>填写维保记录,</w:t>
      </w:r>
      <w:r>
        <w:rPr>
          <w:rFonts w:hint="eastAsia" w:ascii="仿宋_GB2312" w:hAnsi="仿宋_GB2312" w:eastAsia="仿宋_GB2312" w:cs="仿宋_GB2312"/>
          <w:color w:val="auto"/>
          <w:sz w:val="24"/>
          <w:szCs w:val="24"/>
        </w:rPr>
        <w:t>并在甲方的签字认可后方可生效。</w:t>
      </w:r>
    </w:p>
    <w:p w14:paraId="0D862FE6">
      <w:pPr>
        <w:pStyle w:val="10"/>
        <w:numPr>
          <w:ilvl w:val="1"/>
          <w:numId w:val="1"/>
        </w:numPr>
        <w:spacing w:line="360" w:lineRule="auto"/>
        <w:ind w:right="-239" w:rightChars="-114" w:firstLineChars="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接到设备故障报修后半小时内到达现场维修，无需拆机维修的，须在24小时内排除故障、恢复系统运行。维修中所需材料都由维护</w:t>
      </w:r>
      <w:r>
        <w:rPr>
          <w:rFonts w:hint="eastAsia" w:ascii="仿宋_GB2312" w:hAnsi="仿宋_GB2312" w:eastAsia="仿宋_GB2312" w:cs="仿宋_GB2312"/>
          <w:color w:val="auto"/>
          <w:sz w:val="24"/>
          <w:szCs w:val="24"/>
          <w:lang w:val="zh-CN"/>
        </w:rPr>
        <w:t>方</w:t>
      </w:r>
      <w:r>
        <w:rPr>
          <w:rFonts w:hint="eastAsia" w:ascii="仿宋_GB2312" w:hAnsi="仿宋_GB2312" w:eastAsia="仿宋_GB2312" w:cs="仿宋_GB2312"/>
          <w:color w:val="auto"/>
          <w:sz w:val="24"/>
          <w:szCs w:val="24"/>
        </w:rPr>
        <w:t>承担，如：线材、PVC管材、电源、BNC头、监控探头、监视器。</w:t>
      </w:r>
    </w:p>
    <w:p w14:paraId="25A92CFA">
      <w:pPr>
        <w:pStyle w:val="10"/>
        <w:numPr>
          <w:ilvl w:val="1"/>
          <w:numId w:val="1"/>
        </w:numPr>
        <w:spacing w:line="360" w:lineRule="auto"/>
        <w:ind w:right="-239" w:rightChars="-114" w:firstLineChars="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设备故障需要拆机维修时，必须使用应急设备临时替代后，方可拆除维修。可在本地维修的，在24小时内完成；需在省外维修的，在6个工作日内完成，并在设备维修好后及时安装、恢复。</w:t>
      </w:r>
    </w:p>
    <w:p w14:paraId="4543B0B3">
      <w:pPr>
        <w:pStyle w:val="10"/>
        <w:numPr>
          <w:ilvl w:val="1"/>
          <w:numId w:val="1"/>
        </w:numPr>
        <w:spacing w:line="360" w:lineRule="auto"/>
        <w:ind w:right="-239" w:rightChars="-114" w:firstLineChars="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节假日期间必须安排维保人员到钟楼通道全天值守（8:00~24:00），保证甲方各通道监控及广播设备的正常运行。</w:t>
      </w:r>
    </w:p>
    <w:p w14:paraId="1E1E41A7">
      <w:pPr>
        <w:pStyle w:val="10"/>
        <w:numPr>
          <w:ilvl w:val="1"/>
          <w:numId w:val="1"/>
        </w:numPr>
        <w:spacing w:line="360" w:lineRule="auto"/>
        <w:ind w:right="-239" w:rightChars="-114" w:firstLineChars="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需对甲方所有</w:t>
      </w:r>
      <w:r>
        <w:rPr>
          <w:rFonts w:hint="eastAsia" w:ascii="仿宋_GB2312" w:hAnsi="仿宋_GB2312" w:eastAsia="仿宋_GB2312" w:cs="仿宋_GB2312"/>
          <w:color w:val="auto"/>
          <w:sz w:val="24"/>
          <w:szCs w:val="24"/>
          <w:lang w:val="zh-CN"/>
        </w:rPr>
        <w:t>通道对不符合规范的线路及设备进行升级更换，所有费用由乙方承担。包括主机、监视器、线路重新施工网络布线组建监控网络、安装调试等。</w:t>
      </w:r>
    </w:p>
    <w:p w14:paraId="3861AE3C">
      <w:pPr>
        <w:widowControl/>
        <w:snapToGrid w:val="0"/>
        <w:spacing w:line="360" w:lineRule="auto"/>
        <w:ind w:firstLine="240" w:firstLineChars="100"/>
        <w:jc w:val="left"/>
        <w:outlineLvl w:val="0"/>
        <w:rPr>
          <w:rFonts w:ascii="仿宋_GB2312" w:hAnsi="仿宋_GB2312" w:eastAsia="仿宋_GB2312" w:cs="仿宋_GB2312"/>
          <w:kern w:val="0"/>
          <w:sz w:val="24"/>
          <w:u w:val="none"/>
        </w:rPr>
      </w:pPr>
      <w:r>
        <w:rPr>
          <w:rFonts w:hint="eastAsia" w:ascii="仿宋_GB2312" w:hAnsi="仿宋_GB2312" w:eastAsia="仿宋_GB2312" w:cs="仿宋_GB2312"/>
          <w:color w:val="auto"/>
          <w:sz w:val="24"/>
          <w:szCs w:val="24"/>
          <w:lang w:val="en-US" w:eastAsia="zh-CN"/>
        </w:rPr>
        <w:t>2.2、</w:t>
      </w:r>
      <w:r>
        <w:rPr>
          <w:rFonts w:hint="eastAsia" w:ascii="仿宋_GB2312" w:hAnsi="仿宋_GB2312" w:eastAsia="仿宋_GB2312" w:cs="仿宋_GB2312"/>
          <w:kern w:val="0"/>
          <w:sz w:val="24"/>
          <w:u w:val="none"/>
        </w:rPr>
        <w:t>UPS及EPS</w:t>
      </w:r>
      <w:r>
        <w:rPr>
          <w:rFonts w:hint="eastAsia" w:eastAsia="仿宋_GB2312"/>
          <w:kern w:val="0"/>
          <w:sz w:val="24"/>
          <w:u w:val="none"/>
          <w:lang w:val="zh-CN" w:eastAsia="zh-CN"/>
        </w:rPr>
        <w:t>应急电源系统</w:t>
      </w:r>
    </w:p>
    <w:p w14:paraId="5F185762">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1、定期巡检</w:t>
      </w:r>
    </w:p>
    <w:p w14:paraId="3D6E7C4E">
      <w:pPr>
        <w:widowControl/>
        <w:snapToGrid w:val="0"/>
        <w:spacing w:line="360" w:lineRule="auto"/>
        <w:ind w:firstLine="720" w:firstLineChars="300"/>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每月定期上门巡查2次，及时发现问题，防患于未然。具体巡检的内容包括：</w:t>
      </w:r>
    </w:p>
    <w:p w14:paraId="3A0ECD2E">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1.1、外观检查</w:t>
      </w:r>
    </w:p>
    <w:p w14:paraId="22318361">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▲面板指示是否正常,面板指示值与测量值是否一致,各种操作按键是否灵活可靠</w:t>
      </w:r>
    </w:p>
    <w:p w14:paraId="5464E4B3">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1.2、使用环境检查</w:t>
      </w:r>
    </w:p>
    <w:p w14:paraId="494A5297">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▲环境温湿度：温湿度是影响电池寿命的主要因素</w:t>
      </w:r>
    </w:p>
    <w:p w14:paraId="0869E4CC">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1.3、接线端子检查</w:t>
      </w:r>
    </w:p>
    <w:p w14:paraId="2F9E371C">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▲电池接线端子,UPS输入、输出端子,地线端子是否牢固</w:t>
      </w:r>
    </w:p>
    <w:p w14:paraId="5B094737">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1.4、散热系统检查</w:t>
      </w:r>
    </w:p>
    <w:p w14:paraId="6C17D065">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▲散热风扇运转是否正常,进出风通道是否畅通</w:t>
      </w:r>
    </w:p>
    <w:p w14:paraId="770E8B2F">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1.5、机器内部参数测试</w:t>
      </w:r>
    </w:p>
    <w:p w14:paraId="0CFBFFD6">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▲输入电压,输入零地电压,整流器输出电压</w:t>
      </w:r>
    </w:p>
    <w:p w14:paraId="33E3C1EA">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▲充电电压，交直流BUS电压,电流,频率</w:t>
      </w:r>
    </w:p>
    <w:p w14:paraId="53D05406">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1.6、机器转换的测试</w:t>
      </w:r>
    </w:p>
    <w:p w14:paraId="0DF86CE4">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▲交流直流转换 ，逆变旁路转换是否正常</w:t>
      </w:r>
    </w:p>
    <w:p w14:paraId="3C038B02">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▲手动旁路是否可靠</w:t>
      </w:r>
    </w:p>
    <w:p w14:paraId="0B557611">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1.7、外接电池组检查</w:t>
      </w:r>
    </w:p>
    <w:p w14:paraId="0BC2AF7B">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▲测试电池的浮充电压：浮充电压过大，会使电池外壳变形而失效, 在线测量各电池的放电电流和内阻</w:t>
      </w:r>
    </w:p>
    <w:p w14:paraId="2551A503">
      <w:pPr>
        <w:widowControl/>
        <w:snapToGrid w:val="0"/>
        <w:spacing w:line="360" w:lineRule="auto"/>
        <w:ind w:firstLine="537" w:firstLineChars="22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▲在条件允许的情况下，带载测量每只电池的放电电压，判断电池的好坏，防止市电停电后负载断电</w:t>
      </w:r>
    </w:p>
    <w:p w14:paraId="40C29C4C">
      <w:pPr>
        <w:widowControl/>
        <w:snapToGrid w:val="0"/>
        <w:spacing w:line="360" w:lineRule="auto"/>
        <w:ind w:firstLine="657" w:firstLineChars="274"/>
        <w:jc w:val="left"/>
        <w:outlineLvl w:val="0"/>
        <w:rPr>
          <w:rFonts w:ascii="仿宋_GB2312" w:hAnsi="仿宋_GB2312" w:eastAsia="仿宋_GB2312" w:cs="仿宋_GB2312"/>
          <w:kern w:val="0"/>
          <w:sz w:val="24"/>
        </w:rPr>
      </w:pPr>
      <w:r>
        <w:rPr>
          <w:rFonts w:hint="eastAsia" w:ascii="仿宋_GB2312" w:hAnsi="仿宋_GB2312" w:eastAsia="仿宋_GB2312" w:cs="仿宋_GB2312"/>
          <w:kern w:val="0"/>
          <w:sz w:val="24"/>
        </w:rPr>
        <w:t>1.8、机器内部除尘</w:t>
      </w:r>
    </w:p>
    <w:p w14:paraId="585DB5A0">
      <w:pPr>
        <w:widowControl/>
        <w:snapToGrid w:val="0"/>
        <w:spacing w:line="360" w:lineRule="auto"/>
        <w:ind w:firstLine="537" w:firstLineChars="224"/>
        <w:jc w:val="left"/>
        <w:outlineLvl w:val="0"/>
        <w:rPr>
          <w:rFonts w:hint="default" w:eastAsia="仿宋_GB2312"/>
          <w:kern w:val="0"/>
          <w:sz w:val="24"/>
          <w:u w:val="none"/>
          <w:lang w:val="en-US" w:eastAsia="zh-CN"/>
        </w:rPr>
      </w:pPr>
      <w:r>
        <w:rPr>
          <w:rFonts w:hint="eastAsia" w:ascii="仿宋_GB2312" w:hAnsi="仿宋_GB2312" w:eastAsia="仿宋_GB2312" w:cs="仿宋_GB2312"/>
          <w:kern w:val="0"/>
          <w:sz w:val="24"/>
        </w:rPr>
        <w:t>机内灰尘是影响机器散热并引起机器故障的原因之一，因此视机内积尘程度，根据用户要求和现场情况提供除尘服务。</w:t>
      </w:r>
    </w:p>
    <w:p w14:paraId="12E93A6B">
      <w:pPr>
        <w:pStyle w:val="10"/>
        <w:numPr>
          <w:ilvl w:val="0"/>
          <w:numId w:val="3"/>
        </w:numPr>
        <w:spacing w:line="360" w:lineRule="auto"/>
        <w:ind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服务期限：1年</w:t>
      </w:r>
    </w:p>
    <w:p w14:paraId="2A30FC7D">
      <w:pPr>
        <w:spacing w:line="360" w:lineRule="auto"/>
        <w:ind w:right="-239" w:rightChars="-114"/>
        <w:rPr>
          <w:rFonts w:ascii="仿宋_GB2312" w:hAnsi="仿宋_GB2312" w:eastAsia="仿宋_GB2312" w:cs="仿宋_GB2312"/>
          <w:sz w:val="24"/>
        </w:rPr>
      </w:pPr>
      <w:r>
        <w:rPr>
          <w:rFonts w:hint="eastAsia" w:ascii="仿宋_GB2312" w:hAnsi="仿宋_GB2312" w:eastAsia="仿宋_GB2312" w:cs="仿宋_GB2312"/>
          <w:b/>
          <w:sz w:val="24"/>
        </w:rPr>
        <w:t>五、验收依据：</w:t>
      </w:r>
    </w:p>
    <w:p w14:paraId="5142E931">
      <w:pPr>
        <w:pStyle w:val="10"/>
        <w:numPr>
          <w:ilvl w:val="0"/>
          <w:numId w:val="4"/>
        </w:numPr>
        <w:spacing w:line="360" w:lineRule="auto"/>
        <w:ind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国内相应的标准、规范</w:t>
      </w:r>
    </w:p>
    <w:p w14:paraId="3447045E">
      <w:pPr>
        <w:pStyle w:val="10"/>
        <w:numPr>
          <w:ilvl w:val="1"/>
          <w:numId w:val="4"/>
        </w:numPr>
        <w:spacing w:line="360" w:lineRule="auto"/>
        <w:ind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布线标准：乙方监控系统布线施工，严格遵守国际《民用闭路电视监控系统技术规范》GB50198-94。</w:t>
      </w:r>
    </w:p>
    <w:p w14:paraId="1A7C9BE2">
      <w:pPr>
        <w:pStyle w:val="10"/>
        <w:numPr>
          <w:ilvl w:val="1"/>
          <w:numId w:val="4"/>
        </w:numPr>
        <w:spacing w:line="360" w:lineRule="auto"/>
        <w:ind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视频安防监控系统技术要求GA/T 367-2001</w:t>
      </w:r>
    </w:p>
    <w:p w14:paraId="0142E837">
      <w:pPr>
        <w:pStyle w:val="10"/>
        <w:numPr>
          <w:ilvl w:val="1"/>
          <w:numId w:val="4"/>
        </w:numPr>
        <w:spacing w:line="360" w:lineRule="auto"/>
        <w:ind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视频安防监控系统工程设计规范GB 50395-2007</w:t>
      </w:r>
    </w:p>
    <w:p w14:paraId="66FEE7C8">
      <w:pPr>
        <w:pStyle w:val="10"/>
        <w:numPr>
          <w:ilvl w:val="0"/>
          <w:numId w:val="4"/>
        </w:numPr>
        <w:spacing w:line="360" w:lineRule="auto"/>
        <w:ind w:right="-239" w:rightChars="-114"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本合同约定相关条款。</w:t>
      </w:r>
    </w:p>
    <w:p w14:paraId="27C56BE2">
      <w:pPr>
        <w:pStyle w:val="10"/>
        <w:numPr>
          <w:ilvl w:val="0"/>
          <w:numId w:val="5"/>
        </w:numPr>
        <w:spacing w:line="360" w:lineRule="auto"/>
        <w:ind w:right="-239" w:rightChars="-114" w:firstLineChars="0"/>
        <w:rPr>
          <w:rFonts w:ascii="仿宋_GB2312" w:hAnsi="仿宋_GB2312" w:eastAsia="仿宋_GB2312" w:cs="仿宋_GB2312"/>
          <w:b/>
          <w:sz w:val="24"/>
          <w:szCs w:val="24"/>
        </w:rPr>
      </w:pPr>
      <w:r>
        <w:rPr>
          <w:rFonts w:hint="eastAsia" w:ascii="仿宋_GB2312" w:hAnsi="仿宋_GB2312" w:eastAsia="仿宋_GB2312" w:cs="仿宋_GB2312"/>
          <w:b/>
          <w:sz w:val="24"/>
          <w:szCs w:val="24"/>
        </w:rPr>
        <w:t>技术与服务</w:t>
      </w:r>
    </w:p>
    <w:p w14:paraId="6C5CAC1A">
      <w:pPr>
        <w:pStyle w:val="4"/>
        <w:ind w:right="-239" w:rightChars="-114" w:firstLine="352" w:firstLineChars="147"/>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bCs/>
          <w:sz w:val="24"/>
          <w:szCs w:val="24"/>
        </w:rPr>
        <w:t>响应时间</w:t>
      </w:r>
    </w:p>
    <w:p w14:paraId="1D0F074C">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乙方须在甲方提出问题后即刻响应。免费提供7*24小时（每周7天，每天24小时）原厂商硬件质量保障服务和系统软件维护服务、定期对硬件和系统软件进行健康状况检查、免费升级、技术支持等服务。</w:t>
      </w:r>
    </w:p>
    <w:p w14:paraId="6E544A58">
      <w:pPr>
        <w:pStyle w:val="4"/>
        <w:ind w:right="-239" w:rightChars="-114" w:firstLine="352" w:firstLineChars="147"/>
        <w:rPr>
          <w:rFonts w:ascii="仿宋_GB2312" w:hAnsi="仿宋_GB2312" w:eastAsia="仿宋_GB2312" w:cs="仿宋_GB2312"/>
          <w:bCs/>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bCs/>
          <w:sz w:val="24"/>
          <w:szCs w:val="24"/>
        </w:rPr>
        <w:t>支援服务方式</w:t>
      </w:r>
    </w:p>
    <w:p w14:paraId="707C877E">
      <w:pPr>
        <w:pStyle w:val="4"/>
        <w:ind w:right="-239" w:rightChars="-114"/>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a)响应形式一：远程支持（电话、网络）</w:t>
      </w:r>
    </w:p>
    <w:p w14:paraId="352264E9">
      <w:pPr>
        <w:pStyle w:val="4"/>
        <w:ind w:right="-239" w:rightChars="-114"/>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乙方提供7*24小时技术支持（含远程技术咨询、故障的诊断），及技术热线和在线支持。</w:t>
      </w:r>
    </w:p>
    <w:p w14:paraId="5BBFA41E">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电话：</w:t>
      </w:r>
    </w:p>
    <w:p w14:paraId="5A1892C7">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微信: </w:t>
      </w:r>
    </w:p>
    <w:p w14:paraId="2074CA29">
      <w:pPr>
        <w:pStyle w:val="4"/>
        <w:ind w:right="-239" w:rightChars="-114"/>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网络在线支持：</w:t>
      </w:r>
    </w:p>
    <w:p w14:paraId="46ECA87C">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先通过电话解答、解决甲方提出的问题，对出现问题做出判断并提供相应的解决方法。也可通过网络在线远程解决问题。</w:t>
      </w:r>
      <w:bookmarkStart w:id="0" w:name="_Toc13388"/>
    </w:p>
    <w:p w14:paraId="1DBC9E8F">
      <w:pPr>
        <w:pStyle w:val="4"/>
        <w:ind w:right="-239" w:rightChars="-114" w:firstLine="350" w:firstLineChars="146"/>
        <w:rPr>
          <w:rFonts w:ascii="仿宋_GB2312" w:hAnsi="仿宋_GB2312" w:eastAsia="仿宋_GB2312" w:cs="仿宋_GB2312"/>
          <w:sz w:val="24"/>
          <w:szCs w:val="24"/>
        </w:rPr>
      </w:pPr>
      <w:r>
        <w:rPr>
          <w:rFonts w:hint="eastAsia" w:ascii="仿宋_GB2312" w:hAnsi="仿宋_GB2312" w:eastAsia="仿宋_GB2312" w:cs="仿宋_GB2312"/>
          <w:sz w:val="24"/>
          <w:szCs w:val="24"/>
        </w:rPr>
        <w:t>b)、响应形式</w:t>
      </w:r>
      <w:bookmarkEnd w:id="0"/>
      <w:r>
        <w:rPr>
          <w:rFonts w:hint="eastAsia" w:ascii="仿宋_GB2312" w:hAnsi="仿宋_GB2312" w:eastAsia="仿宋_GB2312" w:cs="仿宋_GB2312"/>
          <w:sz w:val="24"/>
          <w:szCs w:val="24"/>
        </w:rPr>
        <w:t>二：</w:t>
      </w:r>
    </w:p>
    <w:p w14:paraId="7C42DDBB">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不能以电话的方式解决时，乙方将启动7*24小时（每周7天，每天24小时）现场服务和紧急事件的快速处理机制，发生紧急故障时即刻对甲方所提出的维修要求做出响应。乙方会在半小时内派技术人员到现场解决问题。对于影响大的紧急故障，24小时内进行迅速恢复。</w:t>
      </w:r>
    </w:p>
    <w:p w14:paraId="1714BC2E">
      <w:pPr>
        <w:pStyle w:val="4"/>
        <w:ind w:right="-239" w:rightChars="-114" w:firstLine="235" w:firstLineChars="98"/>
        <w:rPr>
          <w:rFonts w:ascii="仿宋_GB2312" w:hAnsi="仿宋_GB2312" w:eastAsia="仿宋_GB2312" w:cs="仿宋_GB2312"/>
          <w:sz w:val="24"/>
          <w:szCs w:val="24"/>
        </w:rPr>
      </w:pPr>
      <w:r>
        <w:rPr>
          <w:rFonts w:hint="eastAsia" w:ascii="仿宋_GB2312" w:hAnsi="仿宋_GB2312" w:eastAsia="仿宋_GB2312" w:cs="仿宋_GB2312"/>
          <w:sz w:val="24"/>
          <w:szCs w:val="24"/>
        </w:rPr>
        <w:t>3、系统</w:t>
      </w:r>
      <w:bookmarkStart w:id="1" w:name="_Toc23362"/>
      <w:r>
        <w:rPr>
          <w:rFonts w:hint="eastAsia" w:ascii="仿宋_GB2312" w:hAnsi="仿宋_GB2312" w:eastAsia="仿宋_GB2312" w:cs="仿宋_GB2312"/>
          <w:sz w:val="24"/>
          <w:szCs w:val="24"/>
        </w:rPr>
        <w:t>维保重点</w:t>
      </w:r>
      <w:bookmarkEnd w:id="1"/>
    </w:p>
    <w:p w14:paraId="631E45E1">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a）机房监控主机、服务器等主设备运行情况；</w:t>
      </w:r>
    </w:p>
    <w:p w14:paraId="2E195C23">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b）前</w:t>
      </w:r>
      <w:r>
        <w:rPr>
          <w:rFonts w:hint="eastAsia" w:ascii="仿宋_GB2312" w:hAnsi="仿宋_GB2312" w:eastAsia="仿宋_GB2312" w:cs="仿宋_GB2312"/>
          <w:sz w:val="24"/>
          <w:szCs w:val="24"/>
          <w:lang w:val="en-US" w:eastAsia="zh-CN"/>
        </w:rPr>
        <w:t>端</w:t>
      </w:r>
      <w:r>
        <w:rPr>
          <w:rFonts w:hint="eastAsia" w:ascii="仿宋_GB2312" w:hAnsi="仿宋_GB2312" w:eastAsia="仿宋_GB2312" w:cs="仿宋_GB2312"/>
          <w:sz w:val="24"/>
          <w:szCs w:val="24"/>
        </w:rPr>
        <w:t>摄像机清晰度、角度、报警探头等是否正常；</w:t>
      </w:r>
    </w:p>
    <w:p w14:paraId="631AFF72">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c）设备线路有无腐烂裸露、线路老化现象，造成设备瘫痪；</w:t>
      </w:r>
    </w:p>
    <w:p w14:paraId="1E44DB4B">
      <w:pPr>
        <w:pStyle w:val="4"/>
        <w:ind w:right="-239" w:rightChars="-114"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d）系统录像、数据备份是否正常；</w:t>
      </w:r>
    </w:p>
    <w:p w14:paraId="443BB8DE">
      <w:pPr>
        <w:spacing w:line="360" w:lineRule="auto"/>
        <w:ind w:right="-239" w:rightChars="-114" w:firstLine="480" w:firstLineChars="200"/>
        <w:rPr>
          <w:rFonts w:ascii="仿宋_GB2312" w:hAnsi="仿宋_GB2312" w:eastAsia="仿宋_GB2312" w:cs="仿宋_GB2312"/>
          <w:sz w:val="24"/>
        </w:rPr>
      </w:pPr>
      <w:r>
        <w:rPr>
          <w:rFonts w:hint="eastAsia" w:ascii="仿宋_GB2312" w:hAnsi="仿宋_GB2312" w:eastAsia="仿宋_GB2312" w:cs="仿宋_GB2312"/>
          <w:sz w:val="24"/>
        </w:rPr>
        <w:t>e）各系统服务器安装的软件是否能够正常使用、是否需要升级；</w:t>
      </w:r>
    </w:p>
    <w:p w14:paraId="1650E177">
      <w:pPr>
        <w:spacing w:line="360" w:lineRule="auto"/>
        <w:ind w:right="-99" w:rightChars="-47" w:firstLine="120" w:firstLineChars="50"/>
        <w:rPr>
          <w:rFonts w:ascii="仿宋_GB2312" w:hAnsi="仿宋_GB2312" w:eastAsia="仿宋_GB2312" w:cs="仿宋_GB2312"/>
          <w:sz w:val="24"/>
        </w:rPr>
      </w:pPr>
      <w:r>
        <w:rPr>
          <w:rFonts w:hint="eastAsia" w:ascii="仿宋_GB2312" w:hAnsi="仿宋_GB2312" w:eastAsia="仿宋_GB2312" w:cs="仿宋_GB2312"/>
          <w:sz w:val="24"/>
        </w:rPr>
        <w:t>4、乙方不对以下人为或不可抗力的自然原因而造成甲方设备的损坏负责：</w:t>
      </w:r>
    </w:p>
    <w:p w14:paraId="119206B1">
      <w:pPr>
        <w:spacing w:line="360" w:lineRule="auto"/>
        <w:ind w:right="-239" w:rightChars="-114"/>
        <w:rPr>
          <w:rFonts w:ascii="仿宋_GB2312" w:hAnsi="仿宋_GB2312" w:eastAsia="仿宋_GB2312" w:cs="仿宋_GB2312"/>
          <w:sz w:val="24"/>
        </w:rPr>
      </w:pPr>
      <w:r>
        <w:rPr>
          <w:rFonts w:hint="eastAsia" w:ascii="仿宋_GB2312" w:hAnsi="仿宋_GB2312" w:eastAsia="仿宋_GB2312" w:cs="仿宋_GB2312"/>
          <w:sz w:val="24"/>
        </w:rPr>
        <w:t xml:space="preserve">    a) 甲方设备使用人不按正常操作程序、自行拆机或委托他人维修而造成的设备损坏。</w:t>
      </w:r>
    </w:p>
    <w:p w14:paraId="594AA87C">
      <w:pPr>
        <w:spacing w:line="360" w:lineRule="auto"/>
        <w:ind w:right="-239" w:rightChars="-114"/>
        <w:rPr>
          <w:rFonts w:ascii="仿宋_GB2312" w:hAnsi="仿宋_GB2312" w:eastAsia="仿宋_GB2312" w:cs="仿宋_GB2312"/>
          <w:sz w:val="24"/>
        </w:rPr>
      </w:pPr>
      <w:r>
        <w:rPr>
          <w:rFonts w:hint="eastAsia" w:ascii="仿宋_GB2312" w:hAnsi="仿宋_GB2312" w:eastAsia="仿宋_GB2312" w:cs="仿宋_GB2312"/>
          <w:sz w:val="24"/>
        </w:rPr>
        <w:t xml:space="preserve">    b) 甲方用电系统未有良好接地，因雷击或用电系统原因造成设备损坏。</w:t>
      </w:r>
    </w:p>
    <w:p w14:paraId="077CF7C7">
      <w:pPr>
        <w:spacing w:line="360" w:lineRule="auto"/>
        <w:ind w:left="-60" w:leftChars="-200" w:right="-239" w:rightChars="-114" w:hanging="360" w:hangingChars="150"/>
        <w:rPr>
          <w:rFonts w:ascii="仿宋_GB2312" w:hAnsi="仿宋_GB2312" w:eastAsia="仿宋_GB2312" w:cs="仿宋_GB2312"/>
          <w:sz w:val="24"/>
        </w:rPr>
      </w:pPr>
      <w:r>
        <w:rPr>
          <w:rFonts w:hint="eastAsia" w:ascii="仿宋_GB2312" w:hAnsi="仿宋_GB2312" w:eastAsia="仿宋_GB2312" w:cs="仿宋_GB2312"/>
          <w:sz w:val="24"/>
        </w:rPr>
        <w:t xml:space="preserve">       c) 因不可抗力（如火灾、地震、地质灾害、电力）原因导致设备损。</w:t>
      </w:r>
    </w:p>
    <w:p w14:paraId="27182762">
      <w:pPr>
        <w:spacing w:line="360" w:lineRule="auto"/>
        <w:ind w:right="-239" w:rightChars="-114"/>
        <w:rPr>
          <w:rFonts w:ascii="仿宋_GB2312" w:hAnsi="仿宋_GB2312" w:eastAsia="仿宋_GB2312" w:cs="仿宋_GB2312"/>
          <w:b/>
          <w:sz w:val="24"/>
        </w:rPr>
      </w:pPr>
      <w:r>
        <w:rPr>
          <w:rFonts w:hint="eastAsia" w:ascii="仿宋_GB2312" w:hAnsi="仿宋_GB2312" w:eastAsia="仿宋_GB2312" w:cs="仿宋_GB2312"/>
          <w:b/>
          <w:sz w:val="24"/>
        </w:rPr>
        <w:t>七、违约责任</w:t>
      </w:r>
    </w:p>
    <w:p w14:paraId="3196B62B">
      <w:pPr>
        <w:spacing w:line="360" w:lineRule="auto"/>
        <w:ind w:left="-124" w:leftChars="-404" w:right="-239" w:rightChars="-114" w:hanging="724" w:hangingChars="302"/>
        <w:rPr>
          <w:rFonts w:ascii="仿宋_GB2312" w:hAnsi="仿宋_GB2312" w:eastAsia="仿宋_GB2312" w:cs="仿宋_GB2312"/>
          <w:sz w:val="24"/>
        </w:rPr>
      </w:pPr>
      <w:r>
        <w:rPr>
          <w:rFonts w:hint="eastAsia" w:ascii="仿宋_GB2312" w:hAnsi="仿宋_GB2312" w:eastAsia="仿宋_GB2312" w:cs="仿宋_GB2312"/>
          <w:sz w:val="24"/>
        </w:rPr>
        <w:t xml:space="preserve">          1、如乙方事先未征得甲方同意并得到甲方的谅解而单方面延迟交货，将按违约终止合同。</w:t>
      </w:r>
    </w:p>
    <w:p w14:paraId="52CF3F5A">
      <w:pPr>
        <w:spacing w:line="360" w:lineRule="auto"/>
        <w:ind w:right="-239" w:rightChars="-114" w:firstLine="480" w:firstLineChars="200"/>
        <w:rPr>
          <w:rFonts w:ascii="仿宋_GB2312" w:hAnsi="仿宋_GB2312" w:eastAsia="仿宋_GB2312" w:cs="仿宋_GB2312"/>
          <w:sz w:val="24"/>
        </w:rPr>
      </w:pPr>
      <w:r>
        <w:rPr>
          <w:rFonts w:hint="eastAsia" w:ascii="仿宋_GB2312" w:hAnsi="仿宋_GB2312" w:eastAsia="仿宋_GB2312" w:cs="仿宋_GB2312"/>
          <w:sz w:val="24"/>
        </w:rPr>
        <w:t>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产品交货价或提供服务的服务费用的百分之零点五（0.5%）计收，直至交货或提供服务为止。误期赔偿费的最高限额为合同价格的百分之五（5%）。一旦达到误期赔偿费的最高限额，甲方可终止合同。</w:t>
      </w:r>
    </w:p>
    <w:p w14:paraId="36EDDE1A">
      <w:pPr>
        <w:spacing w:line="360" w:lineRule="auto"/>
        <w:ind w:right="-239" w:rightChars="-114" w:firstLine="480" w:firstLineChars="200"/>
        <w:rPr>
          <w:rFonts w:ascii="仿宋_GB2312" w:hAnsi="仿宋_GB2312" w:eastAsia="仿宋_GB2312" w:cs="仿宋_GB2312"/>
          <w:sz w:val="24"/>
        </w:rPr>
      </w:pPr>
      <w:r>
        <w:rPr>
          <w:rFonts w:hint="eastAsia" w:ascii="仿宋_GB2312" w:hAnsi="仿宋_GB2312" w:eastAsia="仿宋_GB2312" w:cs="仿宋_GB2312"/>
          <w:sz w:val="24"/>
        </w:rPr>
        <w:t>3、违约终止合同：未按合同要求提供服务不能满足技术要求，甲方会同监督机构有权终止合同，对乙方违约行为进行追究，同时按政府采购法的有关规定进行相应的处罚。</w:t>
      </w:r>
    </w:p>
    <w:p w14:paraId="113A6508">
      <w:pPr>
        <w:spacing w:line="360" w:lineRule="auto"/>
        <w:ind w:right="-239" w:rightChars="-114"/>
        <w:rPr>
          <w:rFonts w:ascii="仿宋_GB2312" w:hAnsi="仿宋_GB2312" w:eastAsia="仿宋_GB2312" w:cs="仿宋_GB2312"/>
          <w:b/>
          <w:sz w:val="24"/>
        </w:rPr>
      </w:pPr>
      <w:r>
        <w:rPr>
          <w:rFonts w:hint="eastAsia" w:ascii="仿宋_GB2312" w:hAnsi="仿宋_GB2312" w:eastAsia="仿宋_GB2312" w:cs="仿宋_GB2312"/>
          <w:b/>
          <w:sz w:val="24"/>
        </w:rPr>
        <w:t>八、合同生效及其它</w:t>
      </w:r>
    </w:p>
    <w:p w14:paraId="71B6E6F7">
      <w:pPr>
        <w:spacing w:line="360" w:lineRule="auto"/>
        <w:ind w:right="-239" w:rightChars="-114"/>
      </w:pPr>
      <w:r>
        <w:rPr>
          <w:rFonts w:hint="eastAsia" w:ascii="仿宋_GB2312" w:hAnsi="仿宋_GB2312" w:eastAsia="仿宋_GB2312" w:cs="仿宋_GB2312"/>
          <w:sz w:val="24"/>
        </w:rPr>
        <w:t>1、合同未尽事宜、由甲、乙双方协商，作为合同补充，与原合同具有同等法律效力。</w:t>
      </w:r>
    </w:p>
    <w:p w14:paraId="3C760F31">
      <w:pPr>
        <w:spacing w:line="360" w:lineRule="auto"/>
        <w:ind w:right="-239" w:rightChars="-114"/>
        <w:rPr>
          <w:rFonts w:hint="eastAsia" w:ascii="仿宋_GB2312" w:hAnsi="仿宋_GB2312" w:eastAsia="仿宋_GB2312" w:cs="仿宋_GB2312"/>
          <w:sz w:val="24"/>
        </w:rPr>
      </w:pPr>
      <w:r>
        <w:rPr>
          <w:rFonts w:hint="eastAsia" w:ascii="仿宋_GB2312" w:hAnsi="仿宋_GB2312" w:eastAsia="仿宋_GB2312" w:cs="仿宋_GB2312"/>
          <w:sz w:val="24"/>
        </w:rPr>
        <w:t>2、合同签订时另附安全协议作为合同一部分，与正式合同具有相同法律效应。</w:t>
      </w:r>
    </w:p>
    <w:p w14:paraId="6B4E6EE3">
      <w:pPr>
        <w:spacing w:line="360" w:lineRule="auto"/>
        <w:ind w:right="-239" w:rightChars="-114"/>
        <w:rPr>
          <w:rFonts w:ascii="仿宋_GB2312" w:hAnsi="仿宋_GB2312" w:eastAsia="仿宋_GB2312" w:cs="仿宋_GB2312"/>
          <w:sz w:val="24"/>
          <w:highlight w:val="none"/>
        </w:rPr>
      </w:pPr>
      <w:r>
        <w:rPr>
          <w:rFonts w:hint="eastAsia" w:ascii="仿宋_GB2312" w:hAnsi="仿宋_GB2312" w:eastAsia="仿宋_GB2312" w:cs="仿宋_GB2312"/>
          <w:sz w:val="24"/>
        </w:rPr>
        <w:t>3、本合同正本</w:t>
      </w:r>
      <w:r>
        <w:rPr>
          <w:rFonts w:hint="eastAsia" w:ascii="仿宋_GB2312" w:hAnsi="仿宋_GB2312" w:eastAsia="仿宋_GB2312" w:cs="仿宋_GB2312"/>
          <w:sz w:val="24"/>
          <w:highlight w:val="none"/>
        </w:rPr>
        <w:t>一式</w:t>
      </w:r>
      <w:r>
        <w:rPr>
          <w:rFonts w:hint="eastAsia" w:ascii="仿宋_GB2312" w:hAnsi="仿宋_GB2312" w:eastAsia="仿宋_GB2312" w:cs="仿宋_GB2312"/>
          <w:sz w:val="24"/>
          <w:highlight w:val="none"/>
          <w:lang w:val="en-US" w:eastAsia="zh-CN"/>
        </w:rPr>
        <w:t>六</w:t>
      </w:r>
      <w:r>
        <w:rPr>
          <w:rFonts w:hint="eastAsia" w:ascii="仿宋_GB2312" w:hAnsi="仿宋_GB2312" w:eastAsia="仿宋_GB2312" w:cs="仿宋_GB2312"/>
          <w:sz w:val="24"/>
          <w:highlight w:val="none"/>
        </w:rPr>
        <w:t>份</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正本二份，副本四份</w:t>
      </w:r>
      <w:r>
        <w:rPr>
          <w:rFonts w:hint="eastAsia" w:ascii="仿宋_GB2312" w:hAnsi="仿宋_GB2312" w:eastAsia="仿宋_GB2312" w:cs="仿宋_GB2312"/>
          <w:sz w:val="24"/>
          <w:highlight w:val="none"/>
        </w:rPr>
        <w:t>。</w:t>
      </w:r>
    </w:p>
    <w:p w14:paraId="0636868B">
      <w:pPr>
        <w:spacing w:line="360" w:lineRule="auto"/>
        <w:ind w:right="-239" w:rightChars="-114"/>
        <w:rPr>
          <w:rFonts w:ascii="仿宋_GB2312" w:hAnsi="仿宋_GB2312" w:eastAsia="仿宋_GB2312" w:cs="仿宋_GB2312"/>
          <w:sz w:val="24"/>
        </w:rPr>
      </w:pPr>
      <w:r>
        <w:rPr>
          <w:rFonts w:hint="eastAsia" w:ascii="仿宋_GB2312" w:hAnsi="仿宋_GB2312" w:eastAsia="仿宋_GB2312" w:cs="仿宋_GB2312"/>
          <w:sz w:val="24"/>
        </w:rPr>
        <w:t xml:space="preserve">4、合同经甲乙双方盖章、签字后生效。 </w:t>
      </w:r>
    </w:p>
    <w:p w14:paraId="53FB7CCC">
      <w:pPr>
        <w:spacing w:line="360" w:lineRule="auto"/>
        <w:ind w:right="-239" w:rightChars="-114"/>
        <w:rPr>
          <w:rFonts w:ascii="仿宋_GB2312" w:hAnsi="仿宋_GB2312" w:eastAsia="仿宋_GB2312" w:cs="仿宋_GB2312"/>
          <w:sz w:val="24"/>
        </w:rPr>
      </w:pPr>
      <w:r>
        <w:rPr>
          <w:rFonts w:hint="eastAsia" w:ascii="仿宋_GB2312" w:hAnsi="仿宋_GB2312" w:eastAsia="仿宋_GB2312" w:cs="仿宋_GB2312"/>
          <w:sz w:val="24"/>
          <w:lang w:val="en-US" w:eastAsia="zh-CN"/>
        </w:rPr>
        <w:t>5</w:t>
      </w:r>
      <w:r>
        <w:rPr>
          <w:rFonts w:hint="eastAsia" w:ascii="仿宋_GB2312" w:hAnsi="仿宋_GB2312" w:eastAsia="仿宋_GB2312" w:cs="仿宋_GB2312"/>
          <w:sz w:val="24"/>
        </w:rPr>
        <w:t>、生效时间:合同签订之日。</w:t>
      </w:r>
    </w:p>
    <w:p w14:paraId="72165471">
      <w:pPr>
        <w:spacing w:line="360" w:lineRule="auto"/>
        <w:ind w:right="-239" w:rightChars="-114" w:firstLine="480" w:firstLineChars="200"/>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甲方</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乙方</w:t>
      </w:r>
      <w:r>
        <w:rPr>
          <w:rFonts w:hint="eastAsia" w:ascii="仿宋_GB2312" w:hAnsi="仿宋_GB2312" w:eastAsia="仿宋_GB2312" w:cs="仿宋_GB2312"/>
          <w:sz w:val="24"/>
          <w:lang w:eastAsia="zh-CN"/>
        </w:rPr>
        <w:t>：</w:t>
      </w:r>
    </w:p>
    <w:p w14:paraId="2152E320">
      <w:pPr>
        <w:spacing w:line="360" w:lineRule="auto"/>
        <w:ind w:right="-239" w:rightChars="-114"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甲方名称（盖章）：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乙方名称（盖章）</w:t>
      </w:r>
    </w:p>
    <w:p w14:paraId="4B6E9F00">
      <w:pPr>
        <w:spacing w:line="360" w:lineRule="auto"/>
        <w:ind w:right="-239" w:rightChars="-114"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甲方</w:t>
      </w:r>
      <w:r>
        <w:rPr>
          <w:rFonts w:hint="eastAsia" w:ascii="仿宋_GB2312" w:hAnsi="仿宋_GB2312" w:eastAsia="仿宋_GB2312" w:cs="仿宋_GB2312"/>
          <w:sz w:val="24"/>
          <w:lang w:eastAsia="zh-CN"/>
        </w:rPr>
        <w:t>代表人</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甲方</w:t>
      </w:r>
      <w:r>
        <w:rPr>
          <w:rFonts w:hint="eastAsia" w:ascii="仿宋_GB2312" w:hAnsi="仿宋_GB2312" w:eastAsia="仿宋_GB2312" w:cs="仿宋_GB2312"/>
          <w:sz w:val="24"/>
          <w:lang w:eastAsia="zh-CN"/>
        </w:rPr>
        <w:t>代表人</w:t>
      </w:r>
      <w:r>
        <w:rPr>
          <w:rFonts w:hint="eastAsia" w:ascii="仿宋_GB2312" w:hAnsi="仿宋_GB2312" w:eastAsia="仿宋_GB2312" w:cs="仿宋_GB2312"/>
          <w:sz w:val="24"/>
        </w:rPr>
        <w:t xml:space="preserve">：  </w:t>
      </w:r>
    </w:p>
    <w:p w14:paraId="37568CFC">
      <w:pPr>
        <w:pStyle w:val="2"/>
        <w:rPr>
          <w:rFonts w:hint="default" w:eastAsia="仿宋_GB2312"/>
          <w:lang w:val="en-US" w:eastAsia="zh-CN"/>
        </w:rPr>
      </w:pPr>
      <w:r>
        <w:rPr>
          <w:rFonts w:hint="eastAsia" w:ascii="仿宋_GB2312" w:hAnsi="仿宋_GB2312" w:eastAsia="仿宋_GB2312" w:cs="仿宋_GB2312"/>
          <w:sz w:val="24"/>
          <w:lang w:val="en-US" w:eastAsia="zh-CN"/>
        </w:rPr>
        <w:t xml:space="preserve">    经办人：</w:t>
      </w:r>
    </w:p>
    <w:p w14:paraId="0CA63D2D">
      <w:pPr>
        <w:pStyle w:val="10"/>
        <w:spacing w:line="360" w:lineRule="auto"/>
        <w:ind w:right="-239" w:rightChars="-114" w:firstLine="4320" w:firstLineChars="1800"/>
        <w:rPr>
          <w:rFonts w:ascii="仿宋_GB2312" w:hAnsi="仿宋_GB2312" w:eastAsia="仿宋_GB2312" w:cs="仿宋_GB2312"/>
          <w:sz w:val="24"/>
          <w:szCs w:val="24"/>
        </w:rPr>
      </w:pPr>
      <w:r>
        <w:rPr>
          <w:rFonts w:hint="eastAsia" w:ascii="仿宋_GB2312" w:hAnsi="仿宋_GB2312" w:eastAsia="仿宋_GB2312" w:cs="仿宋_GB2312"/>
          <w:sz w:val="24"/>
          <w:szCs w:val="24"/>
        </w:rPr>
        <w:t>开户银行：</w:t>
      </w:r>
    </w:p>
    <w:p w14:paraId="258B4D4B">
      <w:pPr>
        <w:pStyle w:val="10"/>
        <w:spacing w:line="360" w:lineRule="auto"/>
        <w:ind w:right="-239" w:rightChars="-114" w:firstLine="4320" w:firstLineChars="1800"/>
        <w:rPr>
          <w:rFonts w:ascii="仿宋_GB2312" w:hAnsi="仿宋_GB2312" w:eastAsia="仿宋_GB2312" w:cs="仿宋_GB2312"/>
          <w:sz w:val="24"/>
          <w:szCs w:val="24"/>
        </w:rPr>
      </w:pPr>
      <w:r>
        <w:rPr>
          <w:rFonts w:hint="eastAsia" w:ascii="仿宋_GB2312" w:hAnsi="仿宋_GB2312" w:eastAsia="仿宋_GB2312" w:cs="仿宋_GB2312"/>
          <w:sz w:val="24"/>
          <w:szCs w:val="24"/>
        </w:rPr>
        <w:t>账号：</w:t>
      </w:r>
    </w:p>
    <w:p w14:paraId="4DF58588">
      <w:pPr>
        <w:spacing w:line="360" w:lineRule="auto"/>
        <w:ind w:right="-239" w:rightChars="-114"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电话：                       </w:t>
      </w: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rPr>
        <w:t xml:space="preserve"> 电话：</w:t>
      </w:r>
    </w:p>
    <w:p w14:paraId="69499CAF">
      <w:pPr>
        <w:spacing w:line="360" w:lineRule="auto"/>
        <w:ind w:right="-239" w:rightChars="-114" w:firstLine="4800" w:firstLineChars="2000"/>
        <w:rPr>
          <w:rFonts w:ascii="仿宋_GB2312" w:hAnsi="仿宋_GB2312" w:eastAsia="仿宋_GB2312" w:cs="仿宋_GB2312"/>
          <w:sz w:val="24"/>
        </w:rPr>
      </w:pPr>
      <w:r>
        <w:rPr>
          <w:rFonts w:hint="eastAsia" w:ascii="仿宋_GB2312" w:hAnsi="仿宋_GB2312" w:eastAsia="仿宋_GB2312" w:cs="仿宋_GB2312"/>
          <w:sz w:val="24"/>
        </w:rPr>
        <w:t>签订日期：</w:t>
      </w:r>
    </w:p>
    <w:p w14:paraId="1C34DCB0">
      <w:pPr>
        <w:pStyle w:val="2"/>
        <w:rPr>
          <w:rFonts w:ascii="仿宋_GB2312" w:hAnsi="仿宋_GB2312" w:eastAsia="仿宋_GB2312" w:cs="仿宋_GB2312"/>
          <w:sz w:val="24"/>
        </w:rPr>
      </w:pPr>
    </w:p>
    <w:p w14:paraId="53AD6770">
      <w:pPr>
        <w:rPr>
          <w:rFonts w:eastAsia="仿宋_GB2312"/>
          <w:sz w:val="24"/>
        </w:rPr>
      </w:pPr>
      <w:r>
        <w:rPr>
          <w:rFonts w:eastAsia="仿宋_GB2312"/>
          <w:sz w:val="24"/>
        </w:rPr>
        <w:br w:type="page"/>
      </w:r>
    </w:p>
    <w:p w14:paraId="0A8D8B23">
      <w:pPr>
        <w:spacing w:line="360" w:lineRule="auto"/>
        <w:rPr>
          <w:rFonts w:eastAsia="仿宋_GB2312"/>
          <w:sz w:val="24"/>
        </w:rPr>
      </w:pPr>
      <w:bookmarkStart w:id="2" w:name="_GoBack"/>
      <w:bookmarkEnd w:id="2"/>
      <w:r>
        <w:rPr>
          <w:rFonts w:eastAsia="仿宋_GB2312"/>
          <w:sz w:val="24"/>
        </w:rPr>
        <w:t>合同附件1：</w:t>
      </w:r>
    </w:p>
    <w:tbl>
      <w:tblPr>
        <w:tblStyle w:val="7"/>
        <w:tblW w:w="5000" w:type="pct"/>
        <w:tblInd w:w="0" w:type="dxa"/>
        <w:tblLayout w:type="autofit"/>
        <w:tblCellMar>
          <w:top w:w="0" w:type="dxa"/>
          <w:left w:w="108" w:type="dxa"/>
          <w:bottom w:w="0" w:type="dxa"/>
          <w:right w:w="108" w:type="dxa"/>
        </w:tblCellMar>
      </w:tblPr>
      <w:tblGrid>
        <w:gridCol w:w="1571"/>
        <w:gridCol w:w="2299"/>
        <w:gridCol w:w="2524"/>
        <w:gridCol w:w="2128"/>
      </w:tblGrid>
      <w:tr w14:paraId="3484CF96">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40DA7B7D">
            <w:pPr>
              <w:widowControl/>
              <w:jc w:val="center"/>
              <w:rPr>
                <w:rFonts w:eastAsia="仿宋_GB2312"/>
                <w:b/>
                <w:bCs/>
                <w:kern w:val="0"/>
                <w:sz w:val="32"/>
                <w:szCs w:val="32"/>
              </w:rPr>
            </w:pPr>
            <w:r>
              <w:rPr>
                <w:rFonts w:eastAsia="仿宋_GB2312"/>
                <w:b/>
                <w:bCs/>
                <w:kern w:val="0"/>
                <w:sz w:val="32"/>
                <w:szCs w:val="32"/>
              </w:rPr>
              <w:t>政府采购项目货物（服务）验收入库报告单</w:t>
            </w:r>
          </w:p>
        </w:tc>
      </w:tr>
      <w:tr w14:paraId="3E3964EA">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143EBE7E">
            <w:pPr>
              <w:widowControl/>
              <w:jc w:val="center"/>
              <w:rPr>
                <w:rFonts w:eastAsia="仿宋_GB2312"/>
                <w:b/>
                <w:bCs/>
                <w:kern w:val="0"/>
                <w:sz w:val="24"/>
              </w:rPr>
            </w:pPr>
            <w:r>
              <w:rPr>
                <w:rFonts w:eastAsia="仿宋_GB2312"/>
                <w:b/>
                <w:bCs/>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5173DD46">
            <w:pPr>
              <w:widowControl/>
              <w:jc w:val="center"/>
              <w:rPr>
                <w:rFonts w:eastAsia="仿宋_GB2312"/>
                <w:kern w:val="0"/>
                <w:sz w:val="24"/>
              </w:rPr>
            </w:pPr>
            <w:r>
              <w:rPr>
                <w:rFonts w:eastAsia="仿宋_GB2312"/>
                <w:kern w:val="0"/>
                <w:sz w:val="24"/>
              </w:rPr>
              <w:t>　</w:t>
            </w:r>
          </w:p>
        </w:tc>
      </w:tr>
      <w:tr w14:paraId="1103EC1D">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D57A2F6">
            <w:pPr>
              <w:widowControl/>
              <w:jc w:val="center"/>
              <w:rPr>
                <w:rFonts w:eastAsia="仿宋_GB2312"/>
                <w:b/>
                <w:bCs/>
                <w:kern w:val="0"/>
                <w:sz w:val="24"/>
              </w:rPr>
            </w:pPr>
            <w:r>
              <w:rPr>
                <w:rFonts w:eastAsia="仿宋_GB2312"/>
                <w:b/>
                <w:bCs/>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343DDD9">
            <w:pPr>
              <w:widowControl/>
              <w:jc w:val="center"/>
              <w:rPr>
                <w:rFonts w:eastAsia="仿宋_GB2312"/>
                <w:kern w:val="0"/>
                <w:sz w:val="24"/>
              </w:rPr>
            </w:pPr>
            <w:r>
              <w:rPr>
                <w:rFonts w:eastAsia="仿宋_GB2312"/>
                <w:kern w:val="0"/>
                <w:sz w:val="24"/>
              </w:rPr>
              <w:t>　</w:t>
            </w:r>
          </w:p>
        </w:tc>
      </w:tr>
      <w:tr w14:paraId="22928EEA">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32253EB3">
            <w:pPr>
              <w:widowControl/>
              <w:jc w:val="center"/>
              <w:rPr>
                <w:rFonts w:eastAsia="仿宋_GB2312"/>
                <w:b/>
                <w:bCs/>
                <w:kern w:val="0"/>
                <w:sz w:val="24"/>
              </w:rPr>
            </w:pPr>
            <w:r>
              <w:rPr>
                <w:rFonts w:eastAsia="仿宋_GB2312"/>
                <w:b/>
                <w:bCs/>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159057FA">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59CB0F3E">
            <w:pPr>
              <w:widowControl/>
              <w:jc w:val="center"/>
              <w:rPr>
                <w:rFonts w:eastAsia="仿宋_GB2312"/>
                <w:b/>
                <w:bCs/>
                <w:kern w:val="0"/>
                <w:sz w:val="24"/>
              </w:rPr>
            </w:pPr>
            <w:r>
              <w:rPr>
                <w:rFonts w:eastAsia="仿宋_GB2312"/>
                <w:b/>
                <w:bCs/>
                <w:kern w:val="0"/>
                <w:sz w:val="24"/>
              </w:rPr>
              <w:t>合同金额</w:t>
            </w:r>
          </w:p>
        </w:tc>
        <w:tc>
          <w:tcPr>
            <w:tcW w:w="1248" w:type="pct"/>
            <w:tcBorders>
              <w:top w:val="nil"/>
              <w:left w:val="nil"/>
              <w:bottom w:val="single" w:color="auto" w:sz="4" w:space="0"/>
              <w:right w:val="single" w:color="auto" w:sz="8" w:space="0"/>
            </w:tcBorders>
            <w:noWrap/>
            <w:vAlign w:val="center"/>
          </w:tcPr>
          <w:p w14:paraId="00981A8C">
            <w:pPr>
              <w:widowControl/>
              <w:jc w:val="left"/>
              <w:rPr>
                <w:rFonts w:eastAsia="仿宋_GB2312"/>
                <w:b/>
                <w:bCs/>
                <w:kern w:val="0"/>
                <w:sz w:val="24"/>
              </w:rPr>
            </w:pPr>
            <w:r>
              <w:rPr>
                <w:rFonts w:eastAsia="仿宋_GB2312"/>
                <w:b/>
                <w:bCs/>
                <w:kern w:val="0"/>
                <w:sz w:val="24"/>
              </w:rPr>
              <w:t>¥:</w:t>
            </w:r>
          </w:p>
        </w:tc>
      </w:tr>
      <w:tr w14:paraId="76675F56">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05F9CA06">
            <w:pPr>
              <w:widowControl/>
              <w:jc w:val="left"/>
              <w:rPr>
                <w:rFonts w:eastAsia="仿宋_GB2312"/>
                <w:b/>
                <w:bCs/>
                <w:kern w:val="0"/>
                <w:sz w:val="24"/>
              </w:rPr>
            </w:pPr>
          </w:p>
        </w:tc>
        <w:tc>
          <w:tcPr>
            <w:tcW w:w="1349" w:type="pct"/>
            <w:vMerge w:val="continue"/>
            <w:tcBorders>
              <w:top w:val="nil"/>
              <w:left w:val="single" w:color="auto" w:sz="4" w:space="0"/>
              <w:bottom w:val="single" w:color="auto" w:sz="4" w:space="0"/>
              <w:right w:val="single" w:color="auto" w:sz="4" w:space="0"/>
            </w:tcBorders>
            <w:vAlign w:val="center"/>
          </w:tcPr>
          <w:p w14:paraId="7B415445">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12051FCE">
            <w:pPr>
              <w:widowControl/>
              <w:jc w:val="center"/>
              <w:rPr>
                <w:rFonts w:eastAsia="仿宋_GB2312"/>
                <w:b/>
                <w:bCs/>
                <w:kern w:val="0"/>
                <w:sz w:val="24"/>
              </w:rPr>
            </w:pPr>
            <w:r>
              <w:rPr>
                <w:rFonts w:eastAsia="仿宋_GB2312"/>
                <w:b/>
                <w:bCs/>
                <w:kern w:val="0"/>
                <w:sz w:val="24"/>
              </w:rPr>
              <w:t>验收时间/地点</w:t>
            </w:r>
          </w:p>
        </w:tc>
        <w:tc>
          <w:tcPr>
            <w:tcW w:w="1248" w:type="pct"/>
            <w:tcBorders>
              <w:top w:val="nil"/>
              <w:left w:val="nil"/>
              <w:bottom w:val="single" w:color="auto" w:sz="4" w:space="0"/>
              <w:right w:val="single" w:color="auto" w:sz="8" w:space="0"/>
            </w:tcBorders>
            <w:noWrap/>
            <w:vAlign w:val="center"/>
          </w:tcPr>
          <w:p w14:paraId="52C14E2E">
            <w:pPr>
              <w:widowControl/>
              <w:jc w:val="center"/>
              <w:rPr>
                <w:rFonts w:eastAsia="仿宋_GB2312"/>
                <w:kern w:val="0"/>
                <w:sz w:val="24"/>
              </w:rPr>
            </w:pPr>
            <w:r>
              <w:rPr>
                <w:rFonts w:eastAsia="仿宋_GB2312"/>
                <w:kern w:val="0"/>
                <w:sz w:val="24"/>
              </w:rPr>
              <w:t>　</w:t>
            </w:r>
          </w:p>
        </w:tc>
      </w:tr>
      <w:tr w14:paraId="29581262">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66AF2E7A">
            <w:pPr>
              <w:widowControl/>
              <w:jc w:val="center"/>
              <w:rPr>
                <w:rFonts w:eastAsia="仿宋_GB2312"/>
                <w:b/>
                <w:bCs/>
                <w:kern w:val="0"/>
                <w:sz w:val="24"/>
              </w:rPr>
            </w:pPr>
            <w:r>
              <w:rPr>
                <w:rFonts w:eastAsia="仿宋_GB2312"/>
                <w:b/>
                <w:bCs/>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5FC724B2">
            <w:pPr>
              <w:widowControl/>
              <w:jc w:val="center"/>
              <w:rPr>
                <w:rFonts w:eastAsia="仿宋_GB2312"/>
                <w:kern w:val="0"/>
                <w:sz w:val="24"/>
              </w:rPr>
            </w:pPr>
            <w:r>
              <w:rPr>
                <w:rFonts w:eastAsia="仿宋_GB2312"/>
                <w:kern w:val="0"/>
                <w:sz w:val="24"/>
              </w:rPr>
              <w:t>　</w:t>
            </w:r>
          </w:p>
        </w:tc>
      </w:tr>
      <w:tr w14:paraId="0AC7D010">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E55ABBF">
            <w:pPr>
              <w:widowControl/>
              <w:jc w:val="center"/>
              <w:rPr>
                <w:rFonts w:eastAsia="仿宋_GB2312"/>
                <w:b/>
                <w:bCs/>
                <w:kern w:val="0"/>
                <w:sz w:val="24"/>
              </w:rPr>
            </w:pPr>
            <w:r>
              <w:rPr>
                <w:rFonts w:eastAsia="仿宋_GB2312"/>
                <w:b/>
                <w:bCs/>
                <w:kern w:val="0"/>
                <w:sz w:val="24"/>
              </w:rPr>
              <w:t>开户行</w:t>
            </w:r>
          </w:p>
        </w:tc>
        <w:tc>
          <w:tcPr>
            <w:tcW w:w="1349" w:type="pct"/>
            <w:tcBorders>
              <w:top w:val="nil"/>
              <w:left w:val="nil"/>
              <w:bottom w:val="single" w:color="auto" w:sz="4" w:space="0"/>
              <w:right w:val="single" w:color="auto" w:sz="4" w:space="0"/>
            </w:tcBorders>
            <w:noWrap/>
            <w:vAlign w:val="center"/>
          </w:tcPr>
          <w:p w14:paraId="000D7023">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6ABED4AA">
            <w:pPr>
              <w:widowControl/>
              <w:jc w:val="center"/>
              <w:rPr>
                <w:rFonts w:eastAsia="仿宋_GB2312"/>
                <w:b/>
                <w:bCs/>
                <w:kern w:val="0"/>
                <w:sz w:val="24"/>
              </w:rPr>
            </w:pPr>
            <w:r>
              <w:rPr>
                <w:rFonts w:eastAsia="仿宋_GB2312"/>
                <w:b/>
                <w:bCs/>
                <w:kern w:val="0"/>
                <w:sz w:val="24"/>
              </w:rPr>
              <w:t>账号</w:t>
            </w:r>
          </w:p>
        </w:tc>
        <w:tc>
          <w:tcPr>
            <w:tcW w:w="1248" w:type="pct"/>
            <w:tcBorders>
              <w:top w:val="nil"/>
              <w:left w:val="nil"/>
              <w:bottom w:val="single" w:color="auto" w:sz="4" w:space="0"/>
              <w:right w:val="single" w:color="auto" w:sz="8" w:space="0"/>
            </w:tcBorders>
            <w:noWrap/>
            <w:vAlign w:val="center"/>
          </w:tcPr>
          <w:p w14:paraId="51653A54">
            <w:pPr>
              <w:widowControl/>
              <w:jc w:val="center"/>
              <w:rPr>
                <w:rFonts w:eastAsia="仿宋_GB2312"/>
                <w:kern w:val="0"/>
                <w:sz w:val="24"/>
              </w:rPr>
            </w:pPr>
            <w:r>
              <w:rPr>
                <w:rFonts w:eastAsia="仿宋_GB2312"/>
                <w:kern w:val="0"/>
                <w:sz w:val="24"/>
              </w:rPr>
              <w:t>　</w:t>
            </w:r>
          </w:p>
        </w:tc>
      </w:tr>
      <w:tr w14:paraId="33F98DEC">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5E0C34A">
            <w:pPr>
              <w:widowControl/>
              <w:jc w:val="center"/>
              <w:rPr>
                <w:rFonts w:eastAsia="仿宋_GB2312"/>
                <w:b/>
                <w:bCs/>
                <w:kern w:val="0"/>
                <w:sz w:val="24"/>
              </w:rPr>
            </w:pPr>
            <w:r>
              <w:rPr>
                <w:rFonts w:eastAsia="仿宋_GB2312"/>
                <w:b/>
                <w:bCs/>
                <w:kern w:val="0"/>
                <w:sz w:val="24"/>
              </w:rPr>
              <w:t>联系人</w:t>
            </w:r>
          </w:p>
        </w:tc>
        <w:tc>
          <w:tcPr>
            <w:tcW w:w="1349" w:type="pct"/>
            <w:tcBorders>
              <w:top w:val="nil"/>
              <w:left w:val="nil"/>
              <w:bottom w:val="nil"/>
              <w:right w:val="single" w:color="auto" w:sz="4" w:space="0"/>
            </w:tcBorders>
            <w:noWrap/>
            <w:vAlign w:val="center"/>
          </w:tcPr>
          <w:p w14:paraId="0EA1E56B">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3F0FC25C">
            <w:pPr>
              <w:widowControl/>
              <w:jc w:val="center"/>
              <w:rPr>
                <w:rFonts w:eastAsia="仿宋_GB2312"/>
                <w:b/>
                <w:bCs/>
                <w:kern w:val="0"/>
                <w:sz w:val="24"/>
              </w:rPr>
            </w:pPr>
            <w:r>
              <w:rPr>
                <w:rFonts w:eastAsia="仿宋_GB2312"/>
                <w:b/>
                <w:bCs/>
                <w:kern w:val="0"/>
                <w:sz w:val="24"/>
              </w:rPr>
              <w:t>电话</w:t>
            </w:r>
          </w:p>
        </w:tc>
        <w:tc>
          <w:tcPr>
            <w:tcW w:w="1248" w:type="pct"/>
            <w:tcBorders>
              <w:top w:val="nil"/>
              <w:left w:val="nil"/>
              <w:bottom w:val="nil"/>
              <w:right w:val="single" w:color="auto" w:sz="8" w:space="0"/>
            </w:tcBorders>
            <w:noWrap/>
            <w:vAlign w:val="center"/>
          </w:tcPr>
          <w:p w14:paraId="4BC4FC69">
            <w:pPr>
              <w:widowControl/>
              <w:jc w:val="center"/>
              <w:rPr>
                <w:rFonts w:eastAsia="仿宋_GB2312"/>
                <w:kern w:val="0"/>
                <w:sz w:val="24"/>
              </w:rPr>
            </w:pPr>
            <w:r>
              <w:rPr>
                <w:rFonts w:eastAsia="仿宋_GB2312"/>
                <w:kern w:val="0"/>
                <w:sz w:val="24"/>
              </w:rPr>
              <w:t>　</w:t>
            </w:r>
          </w:p>
        </w:tc>
      </w:tr>
      <w:tr w14:paraId="3B1BC238">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438F699D">
            <w:pPr>
              <w:widowControl/>
              <w:jc w:val="left"/>
              <w:rPr>
                <w:rFonts w:eastAsia="仿宋_GB2312"/>
                <w:b/>
                <w:bCs/>
                <w:kern w:val="0"/>
                <w:sz w:val="24"/>
              </w:rPr>
            </w:pPr>
            <w:r>
              <w:rPr>
                <w:rFonts w:eastAsia="仿宋_GB2312"/>
                <w:b/>
                <w:bCs/>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E72B030">
            <w:pPr>
              <w:widowControl/>
              <w:jc w:val="left"/>
              <w:rPr>
                <w:rFonts w:eastAsia="仿宋_GB2312"/>
                <w:b/>
                <w:bCs/>
                <w:kern w:val="0"/>
                <w:sz w:val="24"/>
              </w:rPr>
            </w:pPr>
            <w:r>
              <w:rPr>
                <w:rFonts w:eastAsia="仿宋_GB2312"/>
                <w:b/>
                <w:bCs/>
                <w:kern w:val="0"/>
                <w:sz w:val="24"/>
              </w:rPr>
              <w:t xml:space="preserve">   使用单位验收意见：（盖章）</w:t>
            </w:r>
          </w:p>
          <w:p w14:paraId="0398D928">
            <w:pPr>
              <w:rPr>
                <w:rFonts w:eastAsia="仿宋_GB2312"/>
                <w:sz w:val="24"/>
              </w:rPr>
            </w:pPr>
          </w:p>
        </w:tc>
      </w:tr>
      <w:tr w14:paraId="3B23BAAC">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7C85A122">
            <w:pPr>
              <w:widowControl/>
              <w:jc w:val="center"/>
              <w:rPr>
                <w:rFonts w:eastAsia="仿宋_GB2312"/>
                <w:b/>
                <w:bCs/>
                <w:kern w:val="0"/>
                <w:sz w:val="24"/>
              </w:rPr>
            </w:pPr>
            <w:r>
              <w:rPr>
                <w:rFonts w:eastAsia="仿宋_GB2312"/>
                <w:b/>
                <w:bCs/>
                <w:kern w:val="0"/>
                <w:sz w:val="24"/>
              </w:rPr>
              <w:t xml:space="preserve"> 签字：</w:t>
            </w:r>
          </w:p>
        </w:tc>
        <w:tc>
          <w:tcPr>
            <w:tcW w:w="1349" w:type="pct"/>
            <w:tcBorders>
              <w:top w:val="nil"/>
              <w:left w:val="nil"/>
              <w:bottom w:val="nil"/>
              <w:right w:val="nil"/>
            </w:tcBorders>
            <w:noWrap/>
            <w:vAlign w:val="center"/>
          </w:tcPr>
          <w:p w14:paraId="401F030A">
            <w:pPr>
              <w:widowControl/>
              <w:jc w:val="center"/>
              <w:rPr>
                <w:rFonts w:eastAsia="仿宋_GB2312"/>
                <w:b/>
                <w:bCs/>
                <w:kern w:val="0"/>
                <w:sz w:val="24"/>
              </w:rPr>
            </w:pPr>
          </w:p>
        </w:tc>
        <w:tc>
          <w:tcPr>
            <w:tcW w:w="1481" w:type="pct"/>
            <w:tcBorders>
              <w:top w:val="nil"/>
              <w:left w:val="single" w:color="auto" w:sz="4" w:space="0"/>
              <w:bottom w:val="nil"/>
              <w:right w:val="nil"/>
            </w:tcBorders>
            <w:noWrap/>
            <w:vAlign w:val="center"/>
          </w:tcPr>
          <w:p w14:paraId="214E7843">
            <w:pPr>
              <w:widowControl/>
              <w:jc w:val="center"/>
              <w:rPr>
                <w:rFonts w:eastAsia="仿宋_GB2312"/>
                <w:b/>
                <w:bCs/>
                <w:kern w:val="0"/>
                <w:sz w:val="24"/>
              </w:rPr>
            </w:pPr>
            <w:r>
              <w:rPr>
                <w:rFonts w:eastAsia="仿宋_GB2312"/>
                <w:b/>
                <w:bCs/>
                <w:kern w:val="0"/>
                <w:sz w:val="24"/>
              </w:rPr>
              <w:t>签字：</w:t>
            </w:r>
          </w:p>
        </w:tc>
        <w:tc>
          <w:tcPr>
            <w:tcW w:w="1248" w:type="pct"/>
            <w:tcBorders>
              <w:top w:val="nil"/>
              <w:left w:val="nil"/>
              <w:bottom w:val="nil"/>
              <w:right w:val="single" w:color="auto" w:sz="8" w:space="0"/>
            </w:tcBorders>
          </w:tcPr>
          <w:p w14:paraId="557BB13E">
            <w:pPr>
              <w:widowControl/>
              <w:jc w:val="left"/>
              <w:rPr>
                <w:rFonts w:eastAsia="仿宋_GB2312"/>
                <w:b/>
                <w:bCs/>
                <w:kern w:val="0"/>
                <w:sz w:val="24"/>
              </w:rPr>
            </w:pPr>
            <w:r>
              <w:rPr>
                <w:rFonts w:eastAsia="仿宋_GB2312"/>
                <w:b/>
                <w:bCs/>
                <w:kern w:val="0"/>
                <w:sz w:val="24"/>
              </w:rPr>
              <w:t>　</w:t>
            </w:r>
          </w:p>
        </w:tc>
      </w:tr>
      <w:tr w14:paraId="5C9BF880">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3E25AEFF">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vAlign w:val="bottom"/>
          </w:tcPr>
          <w:p w14:paraId="633172C1">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4F76104F">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vAlign w:val="bottom"/>
          </w:tcPr>
          <w:p w14:paraId="2B60DD9E">
            <w:pPr>
              <w:widowControl/>
              <w:jc w:val="right"/>
              <w:rPr>
                <w:rFonts w:eastAsia="仿宋_GB2312"/>
                <w:kern w:val="0"/>
                <w:sz w:val="22"/>
                <w:szCs w:val="22"/>
              </w:rPr>
            </w:pPr>
            <w:r>
              <w:rPr>
                <w:rFonts w:eastAsia="仿宋_GB2312"/>
                <w:kern w:val="0"/>
                <w:sz w:val="22"/>
                <w:szCs w:val="22"/>
              </w:rPr>
              <w:t>年   月   日</w:t>
            </w:r>
          </w:p>
        </w:tc>
      </w:tr>
      <w:tr w14:paraId="775B9B44">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492AA78A">
            <w:pPr>
              <w:widowControl/>
              <w:jc w:val="center"/>
              <w:rPr>
                <w:rFonts w:eastAsia="仿宋_GB2312"/>
                <w:b/>
                <w:bCs/>
                <w:kern w:val="0"/>
                <w:sz w:val="22"/>
                <w:szCs w:val="22"/>
              </w:rPr>
            </w:pPr>
            <w:r>
              <w:rPr>
                <w:rFonts w:eastAsia="仿宋_GB2312"/>
                <w:b/>
                <w:bCs/>
                <w:kern w:val="0"/>
                <w:sz w:val="22"/>
                <w:szCs w:val="22"/>
              </w:rPr>
              <w:t>采购内容</w:t>
            </w:r>
          </w:p>
        </w:tc>
      </w:tr>
      <w:tr w14:paraId="4B1F5711">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03A8F29E">
            <w:pPr>
              <w:widowControl/>
              <w:jc w:val="center"/>
              <w:rPr>
                <w:rFonts w:eastAsia="仿宋_GB2312"/>
                <w:b/>
                <w:bCs/>
                <w:kern w:val="0"/>
                <w:sz w:val="28"/>
                <w:szCs w:val="28"/>
              </w:rPr>
            </w:pPr>
            <w:r>
              <w:rPr>
                <w:rFonts w:eastAsia="仿宋_GB2312"/>
                <w:b/>
                <w:bCs/>
                <w:kern w:val="0"/>
                <w:sz w:val="28"/>
                <w:szCs w:val="28"/>
              </w:rPr>
              <w:t>采购内容请列明品目、规格、型号、数量、单价、总价</w:t>
            </w:r>
          </w:p>
        </w:tc>
      </w:tr>
    </w:tbl>
    <w:p w14:paraId="216C9DCB">
      <w:pPr>
        <w:pStyle w:val="2"/>
        <w:rPr>
          <w:rFonts w:ascii="Times New Roman" w:hAnsi="Times New Roman" w:eastAsia="仿宋_GB231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1F00FF" w:csb1="FFFF0000"/>
  </w:font>
  <w:font w:name="DejaVu Sans">
    <w:altName w:val="Segoe Print"/>
    <w:panose1 w:val="020B0603030804020204"/>
    <w:charset w:val="00"/>
    <w:family w:val="auto"/>
    <w:pitch w:val="default"/>
    <w:sig w:usb0="00000000" w:usb1="00000000" w:usb2="0A246029" w:usb3="0400200C" w:csb0="600001FF" w:csb1="DFFF0000"/>
  </w:font>
  <w:font w:name="Copperplate Gothic Bold">
    <w:altName w:val="Segoe Print"/>
    <w:panose1 w:val="020E0705020206020404"/>
    <w:charset w:val="00"/>
    <w:family w:val="swiss"/>
    <w:pitch w:val="default"/>
    <w:sig w:usb0="00000000" w:usb1="00000000" w:usb2="00000000" w:usb3="00000000" w:csb0="20000001" w:csb1="00000000"/>
  </w:font>
  <w:font w:name="Noto Nastaliq Urdu">
    <w:altName w:val="Yu Gothic UI Semibold"/>
    <w:panose1 w:val="020B0802040504020204"/>
    <w:charset w:val="00"/>
    <w:family w:val="auto"/>
    <w:pitch w:val="default"/>
    <w:sig w:usb0="00000000" w:usb1="00000000" w:usb2="00000000" w:usb3="00000000" w:csb0="00000041" w:csb1="00000000"/>
  </w:font>
  <w:font w:name="Helvetica Neue">
    <w:altName w:val="DejaVu Math TeX Gyre"/>
    <w:panose1 w:val="00000000000000000000"/>
    <w:charset w:val="00"/>
    <w:family w:val="auto"/>
    <w:pitch w:val="default"/>
    <w:sig w:usb0="00000000" w:usb1="00000000" w:usb2="00000010" w:usb3="00000000" w:csb0="00000001" w:csb1="00000000"/>
  </w:font>
  <w:font w:name="DejaVu Math TeX Gyre">
    <w:panose1 w:val="02000503000000000000"/>
    <w:charset w:val="00"/>
    <w:family w:val="auto"/>
    <w:pitch w:val="default"/>
    <w:sig w:usb0="A10000EF" w:usb1="4201F9EE" w:usb2="02000000" w:usb3="00000000" w:csb0="60000193" w:csb1="0DD4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9C67B">
    <w:pPr>
      <w:snapToGrid w:val="0"/>
      <w:jc w:val="center"/>
      <w:rPr>
        <w:rFonts w:ascii="Calibri" w:hAnsi="Calibri" w:eastAsia="宋体"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03580F"/>
    <w:multiLevelType w:val="multilevel"/>
    <w:tmpl w:val="1103580F"/>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1590F23"/>
    <w:multiLevelType w:val="multilevel"/>
    <w:tmpl w:val="21590F23"/>
    <w:lvl w:ilvl="0" w:tentative="0">
      <w:start w:val="1"/>
      <w:numFmt w:val="japaneseCounting"/>
      <w:lvlText w:val="%1、"/>
      <w:lvlJc w:val="left"/>
      <w:pPr>
        <w:ind w:left="975" w:hanging="510"/>
      </w:pPr>
      <w:rPr>
        <w:rFonts w:hint="default"/>
      </w:rPr>
    </w:lvl>
    <w:lvl w:ilvl="1" w:tentative="0">
      <w:start w:val="1"/>
      <w:numFmt w:val="lowerLetter"/>
      <w:lvlText w:val="%2)"/>
      <w:lvlJc w:val="left"/>
      <w:pPr>
        <w:ind w:left="1305" w:hanging="420"/>
      </w:pPr>
    </w:lvl>
    <w:lvl w:ilvl="2" w:tentative="0">
      <w:start w:val="1"/>
      <w:numFmt w:val="lowerRoman"/>
      <w:lvlText w:val="%3."/>
      <w:lvlJc w:val="right"/>
      <w:pPr>
        <w:ind w:left="1725" w:hanging="420"/>
      </w:pPr>
    </w:lvl>
    <w:lvl w:ilvl="3" w:tentative="0">
      <w:start w:val="2"/>
      <w:numFmt w:val="decimal"/>
      <w:lvlText w:val="%4、"/>
      <w:lvlJc w:val="left"/>
      <w:pPr>
        <w:ind w:left="720" w:hanging="720"/>
      </w:pPr>
      <w:rPr>
        <w:rFonts w:hint="default"/>
      </w:rPr>
    </w:lvl>
    <w:lvl w:ilvl="4" w:tentative="0">
      <w:start w:val="1"/>
      <w:numFmt w:val="lowerLetter"/>
      <w:lvlText w:val="%5)"/>
      <w:lvlJc w:val="left"/>
      <w:pPr>
        <w:ind w:left="2565" w:hanging="420"/>
      </w:pPr>
    </w:lvl>
    <w:lvl w:ilvl="5" w:tentative="0">
      <w:start w:val="1"/>
      <w:numFmt w:val="lowerRoman"/>
      <w:lvlText w:val="%6."/>
      <w:lvlJc w:val="right"/>
      <w:pPr>
        <w:ind w:left="2985" w:hanging="420"/>
      </w:pPr>
    </w:lvl>
    <w:lvl w:ilvl="6" w:tentative="0">
      <w:start w:val="1"/>
      <w:numFmt w:val="decimal"/>
      <w:lvlText w:val="%7."/>
      <w:lvlJc w:val="left"/>
      <w:pPr>
        <w:ind w:left="3405" w:hanging="420"/>
      </w:pPr>
    </w:lvl>
    <w:lvl w:ilvl="7" w:tentative="0">
      <w:start w:val="1"/>
      <w:numFmt w:val="lowerLetter"/>
      <w:lvlText w:val="%8)"/>
      <w:lvlJc w:val="left"/>
      <w:pPr>
        <w:ind w:left="3825" w:hanging="420"/>
      </w:pPr>
    </w:lvl>
    <w:lvl w:ilvl="8" w:tentative="0">
      <w:start w:val="1"/>
      <w:numFmt w:val="lowerRoman"/>
      <w:lvlText w:val="%9."/>
      <w:lvlJc w:val="right"/>
      <w:pPr>
        <w:ind w:left="4245" w:hanging="420"/>
      </w:pPr>
    </w:lvl>
  </w:abstractNum>
  <w:abstractNum w:abstractNumId="2">
    <w:nsid w:val="46296500"/>
    <w:multiLevelType w:val="multilevel"/>
    <w:tmpl w:val="46296500"/>
    <w:lvl w:ilvl="0" w:tentative="0">
      <w:start w:val="1"/>
      <w:numFmt w:val="decimal"/>
      <w:lvlText w:val="%1."/>
      <w:lvlJc w:val="left"/>
      <w:pPr>
        <w:ind w:left="1335" w:hanging="360"/>
      </w:pPr>
      <w:rPr>
        <w:rFonts w:hint="default"/>
      </w:rPr>
    </w:lvl>
    <w:lvl w:ilvl="1" w:tentative="0">
      <w:start w:val="1"/>
      <w:numFmt w:val="lowerLetter"/>
      <w:lvlText w:val="%2)"/>
      <w:lvlJc w:val="left"/>
      <w:pPr>
        <w:ind w:left="1815" w:hanging="420"/>
      </w:pPr>
    </w:lvl>
    <w:lvl w:ilvl="2" w:tentative="0">
      <w:start w:val="1"/>
      <w:numFmt w:val="lowerRoman"/>
      <w:lvlText w:val="%3."/>
      <w:lvlJc w:val="right"/>
      <w:pPr>
        <w:ind w:left="2235" w:hanging="420"/>
      </w:pPr>
    </w:lvl>
    <w:lvl w:ilvl="3" w:tentative="0">
      <w:start w:val="1"/>
      <w:numFmt w:val="decimal"/>
      <w:lvlText w:val="%4."/>
      <w:lvlJc w:val="left"/>
      <w:pPr>
        <w:ind w:left="2655" w:hanging="420"/>
      </w:pPr>
    </w:lvl>
    <w:lvl w:ilvl="4" w:tentative="0">
      <w:start w:val="1"/>
      <w:numFmt w:val="lowerLetter"/>
      <w:lvlText w:val="%5)"/>
      <w:lvlJc w:val="left"/>
      <w:pPr>
        <w:ind w:left="3075" w:hanging="420"/>
      </w:pPr>
    </w:lvl>
    <w:lvl w:ilvl="5" w:tentative="0">
      <w:start w:val="1"/>
      <w:numFmt w:val="lowerRoman"/>
      <w:lvlText w:val="%6."/>
      <w:lvlJc w:val="right"/>
      <w:pPr>
        <w:ind w:left="3495" w:hanging="420"/>
      </w:pPr>
    </w:lvl>
    <w:lvl w:ilvl="6" w:tentative="0">
      <w:start w:val="1"/>
      <w:numFmt w:val="decimal"/>
      <w:lvlText w:val="%7."/>
      <w:lvlJc w:val="left"/>
      <w:pPr>
        <w:ind w:left="3915" w:hanging="420"/>
      </w:pPr>
    </w:lvl>
    <w:lvl w:ilvl="7" w:tentative="0">
      <w:start w:val="1"/>
      <w:numFmt w:val="lowerLetter"/>
      <w:lvlText w:val="%8)"/>
      <w:lvlJc w:val="left"/>
      <w:pPr>
        <w:ind w:left="4335" w:hanging="420"/>
      </w:pPr>
    </w:lvl>
    <w:lvl w:ilvl="8" w:tentative="0">
      <w:start w:val="1"/>
      <w:numFmt w:val="lowerRoman"/>
      <w:lvlText w:val="%9."/>
      <w:lvlJc w:val="right"/>
      <w:pPr>
        <w:ind w:left="4755" w:hanging="420"/>
      </w:pPr>
    </w:lvl>
  </w:abstractNum>
  <w:abstractNum w:abstractNumId="3">
    <w:nsid w:val="790B7EDD"/>
    <w:multiLevelType w:val="multilevel"/>
    <w:tmpl w:val="790B7EDD"/>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decimal"/>
      <w:lvlText w:val="%3、"/>
      <w:lvlJc w:val="left"/>
      <w:pPr>
        <w:ind w:left="2120" w:hanging="720"/>
      </w:pPr>
      <w:rPr>
        <w:rFonts w:hint="default"/>
      </w:r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7A117816"/>
    <w:multiLevelType w:val="multilevel"/>
    <w:tmpl w:val="7A117816"/>
    <w:lvl w:ilvl="0" w:tentative="0">
      <w:start w:val="1"/>
      <w:numFmt w:val="decimal"/>
      <w:lvlText w:val="%1."/>
      <w:lvlJc w:val="left"/>
      <w:pPr>
        <w:ind w:left="840" w:hanging="420"/>
      </w:pPr>
    </w:lvl>
    <w:lvl w:ilvl="1" w:tentative="0">
      <w:start w:val="1"/>
      <w:numFmt w:val="decimal"/>
      <w:lvlText w:val="（%2）"/>
      <w:lvlJc w:val="left"/>
      <w:pPr>
        <w:ind w:left="1755" w:hanging="915"/>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50F3"/>
    <w:rsid w:val="071F67DF"/>
    <w:rsid w:val="222B5B04"/>
    <w:rsid w:val="284C6E24"/>
    <w:rsid w:val="410D44E5"/>
    <w:rsid w:val="4B720F89"/>
    <w:rsid w:val="5EFF50F3"/>
    <w:rsid w:val="6E504D7E"/>
    <w:rsid w:val="6EBD4168"/>
    <w:rsid w:val="734B3DA6"/>
    <w:rsid w:val="76335E40"/>
    <w:rsid w:val="8DBC622D"/>
    <w:rsid w:val="D7BD13F8"/>
    <w:rsid w:val="DFEEEA78"/>
    <w:rsid w:val="FBF934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4">
    <w:name w:val="Plain Text"/>
    <w:basedOn w:val="1"/>
    <w:qFormat/>
    <w:uiPriority w:val="0"/>
    <w:pPr>
      <w:spacing w:line="360" w:lineRule="auto"/>
    </w:pPr>
    <w:rPr>
      <w:rFonts w:ascii="宋体" w:hAnsi="Courier New"/>
      <w:szCs w:val="21"/>
    </w:rPr>
  </w:style>
  <w:style w:type="paragraph" w:styleId="5">
    <w:name w:val="footer"/>
    <w:basedOn w:val="1"/>
    <w:next w:val="1"/>
    <w:qFormat/>
    <w:uiPriority w:val="0"/>
    <w:pPr>
      <w:tabs>
        <w:tab w:val="center" w:pos="4153"/>
        <w:tab w:val="right" w:pos="8306"/>
      </w:tabs>
      <w:snapToGrid w:val="0"/>
      <w:jc w:val="left"/>
    </w:pPr>
    <w:rPr>
      <w:sz w:val="18"/>
      <w:szCs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character" w:styleId="9">
    <w:name w:val="Hyperlink"/>
    <w:basedOn w:val="8"/>
    <w:qFormat/>
    <w:uiPriority w:val="99"/>
    <w:rPr>
      <w:rFonts w:hint="eastAsia" w:ascii="宋体" w:hAnsi="宋体" w:eastAsia="宋体" w:cs="宋体"/>
      <w:color w:val="004A85"/>
      <w:sz w:val="12"/>
      <w:szCs w:val="12"/>
      <w:u w:val="single"/>
    </w:rPr>
  </w:style>
  <w:style w:type="paragraph" w:styleId="10">
    <w:name w:val="List Paragraph"/>
    <w:basedOn w:val="1"/>
    <w:semiHidden/>
    <w:unhideWhenUsed/>
    <w:qFormat/>
    <w:uiPriority w:val="99"/>
    <w:pPr>
      <w:ind w:firstLine="420" w:firstLineChars="200"/>
    </w:pPr>
  </w:style>
  <w:style w:type="paragraph" w:customStyle="1" w:styleId="11">
    <w:name w:val="Other|1"/>
    <w:basedOn w:val="1"/>
    <w:qFormat/>
    <w:uiPriority w:val="0"/>
    <w:pPr>
      <w:spacing w:line="339" w:lineRule="exact"/>
      <w:ind w:firstLine="160"/>
    </w:pPr>
    <w:rPr>
      <w:rFonts w:ascii="宋体" w:hAnsi="宋体" w:eastAsia="宋体" w:cs="宋体"/>
      <w:sz w:val="20"/>
      <w:szCs w:val="20"/>
      <w:lang w:val="zh-TW" w:eastAsia="zh-TW" w:bidi="zh-TW"/>
    </w:rPr>
  </w:style>
  <w:style w:type="paragraph" w:customStyle="1" w:styleId="12">
    <w:name w:val="正文 A"/>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Times New Roman" w:cs="Arial Unicode MS"/>
      <w:color w:val="000000"/>
      <w:spacing w:val="0"/>
      <w:w w:val="100"/>
      <w:kern w:val="2"/>
      <w:position w:val="0"/>
      <w:sz w:val="21"/>
      <w:szCs w:val="21"/>
      <w:u w:val="none" w:color="000000"/>
      <w:vertAlign w:val="baseline"/>
      <w:lang w:val="en-US"/>
    </w:rPr>
  </w:style>
  <w:style w:type="paragraph" w:customStyle="1" w:styleId="13">
    <w:name w:val="默认"/>
    <w:qFormat/>
    <w:uiPriority w:val="0"/>
    <w:pPr>
      <w:framePr w:wrap="around" w:vAnchor="margin" w:hAnchor="text" w:y="1"/>
      <w:spacing w:before="160"/>
    </w:pPr>
    <w:rPr>
      <w:rFonts w:ascii="Helvetica Neue" w:hAnsi="Helvetica Neue" w:eastAsia="Helvetica Neue" w:cs="Helvetica Neue"/>
      <w:color w:val="000000"/>
      <w:sz w:val="24"/>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2628</Words>
  <Characters>2728</Characters>
  <Lines>0</Lines>
  <Paragraphs>0</Paragraphs>
  <TotalTime>0</TotalTime>
  <ScaleCrop>false</ScaleCrop>
  <LinksUpToDate>false</LinksUpToDate>
  <CharactersWithSpaces>2842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2025-06-05T17:06:00Z</dcterms:created>
  <dc:creator>大黄。</dc:creator>
  <cp:lastModifiedBy>大黄。</cp:lastModifiedBy>
  <dcterms:modified xsi:type="dcterms:W3CDTF">2025-07-01T14:02:30Z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7C6EDF85EA5A461E92C477152F492B9C_11</vt:lpwstr>
  </property>
  <property fmtid="{D5CDD505-2E9C-101B-9397-08002B2CF9AE}" pid="4" name="KSOTemplateDocerSaveRecord">
    <vt:lpwstr>eyJoZGlkIjoiYjBiNmEzNDIwY2M3Y2FmMjg1MmQ4NTNlNjc3MjY3NDQiLCJ1c2VySWQiOiI2ODYzMDg4MjQifQ==</vt:lpwstr>
  </property>
</Properties>
</file>