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0BB8F">
      <w:pPr>
        <w:pStyle w:val="3"/>
        <w:keepLines w:val="0"/>
        <w:pageBreakBefore w:val="0"/>
        <w:widowControl/>
        <w:numPr>
          <w:ilvl w:val="0"/>
          <w:numId w:val="1"/>
        </w:numPr>
        <w:kinsoku/>
        <w:overflowPunct/>
        <w:topLinePunct w:val="0"/>
        <w:autoSpaceDE/>
        <w:autoSpaceDN/>
        <w:bidi w:val="0"/>
        <w:adjustRightInd/>
        <w:snapToGrid/>
        <w:spacing w:before="0" w:beforeLines="0" w:after="0" w:afterLines="0" w:line="360" w:lineRule="auto"/>
        <w:textAlignment w:val="auto"/>
        <w:rPr>
          <w:rFonts w:hint="eastAsia" w:ascii="宋体" w:hAnsi="宋体" w:eastAsia="宋体" w:cs="宋体"/>
        </w:rPr>
      </w:pPr>
      <w:bookmarkStart w:id="0" w:name="_Toc100219615"/>
      <w:r>
        <w:rPr>
          <w:rFonts w:hint="eastAsia" w:ascii="宋体" w:hAnsi="宋体" w:eastAsia="宋体" w:cs="宋体"/>
        </w:rPr>
        <w:t>合同文本</w:t>
      </w:r>
      <w:bookmarkEnd w:id="0"/>
    </w:p>
    <w:p w14:paraId="2E181645">
      <w:pPr>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C00000"/>
        </w:rPr>
      </w:pPr>
      <w:r>
        <w:rPr>
          <w:rFonts w:hint="eastAsia" w:ascii="宋体" w:hAnsi="宋体" w:eastAsia="宋体" w:cs="宋体"/>
          <w:color w:val="C00000"/>
        </w:rPr>
        <w:t>（</w:t>
      </w:r>
      <w:r>
        <w:rPr>
          <w:rFonts w:hint="eastAsia" w:ascii="宋体" w:hAnsi="宋体" w:eastAsia="宋体" w:cs="宋体"/>
          <w:color w:val="C00000"/>
        </w:rPr>
        <w:t>第二</w:t>
      </w:r>
      <w:r>
        <w:rPr>
          <w:rFonts w:hint="eastAsia" w:ascii="宋体" w:hAnsi="宋体" w:eastAsia="宋体" w:cs="宋体"/>
          <w:color w:val="C00000"/>
        </w:rPr>
        <w:t>、</w:t>
      </w:r>
      <w:r>
        <w:rPr>
          <w:rFonts w:hint="eastAsia" w:ascii="宋体" w:hAnsi="宋体" w:eastAsia="宋体" w:cs="宋体"/>
          <w:color w:val="C00000"/>
        </w:rPr>
        <w:t>三</w:t>
      </w:r>
      <w:r>
        <w:rPr>
          <w:rFonts w:hint="eastAsia" w:ascii="宋体" w:hAnsi="宋体" w:eastAsia="宋体" w:cs="宋体"/>
          <w:color w:val="C00000"/>
        </w:rPr>
        <w:t>标段</w:t>
      </w:r>
      <w:r>
        <w:rPr>
          <w:rFonts w:hint="eastAsia" w:ascii="宋体" w:hAnsi="宋体" w:eastAsia="宋体" w:cs="宋体"/>
          <w:color w:val="C00000"/>
        </w:rPr>
        <w:t>合同为中小企业预留合同</w:t>
      </w:r>
      <w:r>
        <w:rPr>
          <w:rFonts w:hint="eastAsia" w:ascii="宋体" w:hAnsi="宋体" w:eastAsia="宋体" w:cs="宋体"/>
          <w:color w:val="C00000"/>
        </w:rPr>
        <w:t>）</w:t>
      </w:r>
    </w:p>
    <w:p w14:paraId="091FF18A">
      <w:pPr>
        <w:pStyle w:val="6"/>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1B2D2E">
      <w:pPr>
        <w:pStyle w:val="6"/>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u w:val="single"/>
        </w:rPr>
        <w:t>西安市发展和改革委员会</w:t>
      </w:r>
    </w:p>
    <w:p w14:paraId="46A12EED">
      <w:pPr>
        <w:pStyle w:val="6"/>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乙方（中标供应商）：</w:t>
      </w:r>
      <w:r>
        <w:rPr>
          <w:rFonts w:hint="eastAsia" w:ascii="宋体" w:hAnsi="宋体" w:eastAsia="宋体" w:cs="宋体"/>
          <w:sz w:val="24"/>
          <w:szCs w:val="24"/>
          <w:u w:val="single"/>
          <w:lang w:val="en-US" w:eastAsia="zh-CN"/>
        </w:rPr>
        <w:t xml:space="preserve">                  </w:t>
      </w:r>
    </w:p>
    <w:p w14:paraId="71BA115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color w:val="C00000"/>
          <w:sz w:val="24"/>
          <w:szCs w:val="24"/>
        </w:rPr>
        <w:t>西安市发展和改革委员会委托具有资质的工程咨询机构开展政府投资项目咨询评估工作（项目编号：</w:t>
      </w:r>
      <w:r>
        <w:rPr>
          <w:rFonts w:hint="eastAsia" w:ascii="宋体" w:hAnsi="宋体" w:eastAsia="宋体" w:cs="宋体"/>
          <w:color w:val="C00000"/>
          <w:sz w:val="24"/>
          <w:szCs w:val="24"/>
        </w:rPr>
        <w:t>SXZCZB2025-ZCGK-0738</w:t>
      </w:r>
      <w:r>
        <w:rPr>
          <w:rFonts w:hint="eastAsia" w:ascii="宋体" w:hAnsi="宋体" w:eastAsia="宋体" w:cs="宋体"/>
          <w:color w:val="C00000"/>
          <w:sz w:val="24"/>
          <w:szCs w:val="24"/>
        </w:rPr>
        <w:t>）</w:t>
      </w:r>
      <w:r>
        <w:rPr>
          <w:rFonts w:hint="eastAsia" w:ascii="宋体" w:hAnsi="宋体" w:eastAsia="宋体" w:cs="宋体"/>
          <w:sz w:val="24"/>
          <w:szCs w:val="24"/>
        </w:rPr>
        <w:t>项目</w:t>
      </w:r>
      <w:r>
        <w:rPr>
          <w:rFonts w:hint="eastAsia" w:ascii="宋体" w:hAnsi="宋体" w:eastAsia="宋体" w:cs="宋体"/>
          <w:color w:val="C00000"/>
          <w:sz w:val="24"/>
          <w:szCs w:val="24"/>
        </w:rPr>
        <w:t>第</w:t>
      </w:r>
      <w:r>
        <w:rPr>
          <w:rFonts w:hint="eastAsia" w:ascii="宋体" w:hAnsi="宋体" w:eastAsia="宋体" w:cs="宋体"/>
          <w:color w:val="C00000"/>
          <w:sz w:val="24"/>
          <w:szCs w:val="24"/>
          <w:u w:val="single"/>
          <w:lang w:val="en-US" w:eastAsia="zh-CN"/>
        </w:rPr>
        <w:t xml:space="preserve">      </w:t>
      </w:r>
      <w:r>
        <w:rPr>
          <w:rFonts w:hint="eastAsia" w:ascii="宋体" w:hAnsi="宋体" w:eastAsia="宋体" w:cs="宋体"/>
          <w:color w:val="C00000"/>
          <w:sz w:val="24"/>
          <w:szCs w:val="24"/>
        </w:rPr>
        <w:t>标段</w:t>
      </w:r>
      <w:r>
        <w:rPr>
          <w:rFonts w:hint="eastAsia" w:ascii="宋体" w:hAnsi="宋体" w:eastAsia="宋体" w:cs="宋体"/>
          <w:sz w:val="24"/>
          <w:szCs w:val="24"/>
        </w:rPr>
        <w:t>的招标文件、投标文件等有关规定，为确保甲方采购项目的顺利实施，甲、乙双方在平等自愿原则下签订本合同，并共同遵守如下条款：</w:t>
      </w:r>
    </w:p>
    <w:p w14:paraId="0A380283">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第一条　项目基本情况</w:t>
      </w:r>
    </w:p>
    <w:p w14:paraId="21C50F38">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u w:val="none"/>
          <w:lang w:eastAsia="zh-CN"/>
        </w:rPr>
      </w:pPr>
      <w:r>
        <w:rPr>
          <w:rFonts w:hint="eastAsia" w:ascii="宋体" w:hAnsi="宋体" w:eastAsia="宋体" w:cs="宋体"/>
          <w:sz w:val="24"/>
          <w:szCs w:val="24"/>
        </w:rPr>
        <w:t>1．</w:t>
      </w:r>
      <w:r>
        <w:rPr>
          <w:rFonts w:hint="eastAsia" w:ascii="宋体" w:hAnsi="宋体" w:eastAsia="宋体" w:cs="宋体"/>
          <w:sz w:val="24"/>
          <w:szCs w:val="24"/>
        </w:rPr>
        <w:t>采购标的：</w:t>
      </w:r>
      <w:r>
        <w:rPr>
          <w:rFonts w:hint="eastAsia" w:ascii="宋体" w:hAnsi="宋体" w:eastAsia="宋体" w:cs="宋体"/>
          <w:sz w:val="24"/>
          <w:szCs w:val="24"/>
          <w:u w:val="single"/>
        </w:rPr>
        <w:t>政府投资项目咨询评估服务</w:t>
      </w:r>
      <w:r>
        <w:rPr>
          <w:rFonts w:hint="eastAsia" w:ascii="宋体" w:hAnsi="宋体" w:eastAsia="宋体" w:cs="宋体"/>
          <w:sz w:val="24"/>
          <w:szCs w:val="24"/>
          <w:u w:val="none"/>
          <w:lang w:eastAsia="zh-CN"/>
        </w:rPr>
        <w:t>。</w:t>
      </w:r>
    </w:p>
    <w:p w14:paraId="1FE59097">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．服务期限：</w:t>
      </w:r>
      <w:r>
        <w:rPr>
          <w:rFonts w:hint="eastAsia" w:ascii="宋体" w:hAnsi="宋体" w:eastAsia="宋体" w:cs="宋体"/>
          <w:sz w:val="24"/>
          <w:szCs w:val="24"/>
          <w:u w:val="single"/>
        </w:rPr>
        <w:t>服务期限1年，自合同签订之日起算</w:t>
      </w:r>
      <w:r>
        <w:rPr>
          <w:rFonts w:hint="eastAsia" w:ascii="宋体" w:hAnsi="宋体" w:eastAsia="宋体" w:cs="宋体"/>
          <w:sz w:val="24"/>
          <w:szCs w:val="24"/>
        </w:rPr>
        <w:t>。</w:t>
      </w:r>
    </w:p>
    <w:p w14:paraId="44E8C201">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服务期内未完成各标段要求项目“最低完成数量”，则服务期顺延，直至完成“最低完成数量”；服务期内，完成项目“最高完成数量”，合同终止。</w:t>
      </w:r>
    </w:p>
    <w:p w14:paraId="30676F57">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第二条　合同价款及支付方式</w:t>
      </w:r>
    </w:p>
    <w:p w14:paraId="0B272151">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1．合同总价：（大写）_________（小写）</w:t>
      </w:r>
      <w:r>
        <w:rPr>
          <w:rFonts w:hint="eastAsia" w:ascii="宋体" w:hAnsi="宋体" w:eastAsia="宋体" w:cs="宋体"/>
          <w:sz w:val="24"/>
          <w:szCs w:val="24"/>
        </w:rPr>
        <w:t>¥</w:t>
      </w:r>
      <w:r>
        <w:rPr>
          <w:rFonts w:hint="eastAsia" w:ascii="宋体" w:hAnsi="宋体" w:eastAsia="宋体" w:cs="宋体"/>
          <w:sz w:val="24"/>
          <w:szCs w:val="24"/>
        </w:rPr>
        <w:t>________元。</w:t>
      </w:r>
    </w:p>
    <w:p w14:paraId="7735E98E">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合同</w:t>
      </w:r>
      <w:r>
        <w:rPr>
          <w:rFonts w:hint="eastAsia" w:ascii="宋体" w:hAnsi="宋体" w:eastAsia="宋体" w:cs="宋体"/>
          <w:sz w:val="24"/>
          <w:szCs w:val="24"/>
        </w:rPr>
        <w:t>总价包括完成本项目</w:t>
      </w:r>
      <w:r>
        <w:rPr>
          <w:rFonts w:hint="eastAsia" w:ascii="宋体" w:hAnsi="宋体" w:eastAsia="宋体" w:cs="宋体"/>
          <w:sz w:val="24"/>
          <w:szCs w:val="24"/>
        </w:rPr>
        <w:t>采购</w:t>
      </w:r>
      <w:r>
        <w:rPr>
          <w:rFonts w:hint="eastAsia" w:ascii="宋体" w:hAnsi="宋体" w:eastAsia="宋体" w:cs="宋体"/>
          <w:sz w:val="24"/>
          <w:szCs w:val="24"/>
        </w:rPr>
        <w:t>要求的全部服务内容，即完成全部服务内容所涉及的人员、服务、管理、差</w:t>
      </w:r>
      <w:r>
        <w:rPr>
          <w:rFonts w:hint="eastAsia" w:ascii="宋体" w:hAnsi="宋体" w:eastAsia="宋体" w:cs="宋体"/>
          <w:sz w:val="24"/>
          <w:szCs w:val="24"/>
        </w:rPr>
        <w:t>旅</w:t>
      </w:r>
      <w:r>
        <w:rPr>
          <w:rFonts w:hint="eastAsia" w:ascii="宋体" w:hAnsi="宋体" w:eastAsia="宋体" w:cs="宋体"/>
          <w:sz w:val="24"/>
          <w:szCs w:val="24"/>
        </w:rPr>
        <w:t>、</w:t>
      </w:r>
      <w:r>
        <w:rPr>
          <w:rFonts w:hint="eastAsia" w:ascii="宋体" w:hAnsi="宋体" w:eastAsia="宋体" w:cs="宋体"/>
          <w:sz w:val="24"/>
          <w:szCs w:val="24"/>
        </w:rPr>
        <w:t>税金</w:t>
      </w:r>
      <w:r>
        <w:rPr>
          <w:rFonts w:hint="eastAsia" w:ascii="宋体" w:hAnsi="宋体" w:eastAsia="宋体" w:cs="宋体"/>
          <w:sz w:val="24"/>
          <w:szCs w:val="24"/>
        </w:rPr>
        <w:t>及合同利润等。</w:t>
      </w:r>
      <w:r>
        <w:rPr>
          <w:rFonts w:hint="eastAsia" w:ascii="宋体" w:hAnsi="宋体" w:eastAsia="宋体" w:cs="宋体"/>
          <w:sz w:val="24"/>
          <w:szCs w:val="24"/>
        </w:rPr>
        <w:t>合同</w:t>
      </w:r>
      <w:r>
        <w:rPr>
          <w:rFonts w:hint="eastAsia" w:ascii="宋体" w:hAnsi="宋体" w:eastAsia="宋体" w:cs="宋体"/>
          <w:sz w:val="24"/>
          <w:szCs w:val="24"/>
        </w:rPr>
        <w:t>总价</w:t>
      </w:r>
      <w:r>
        <w:rPr>
          <w:rFonts w:hint="eastAsia" w:ascii="宋体" w:hAnsi="宋体" w:eastAsia="宋体" w:cs="宋体"/>
          <w:sz w:val="24"/>
          <w:szCs w:val="24"/>
        </w:rPr>
        <w:t>系固定不变价格，不受市场价格变化因素的影响，乙方</w:t>
      </w:r>
      <w:r>
        <w:rPr>
          <w:rFonts w:hint="eastAsia" w:ascii="宋体" w:hAnsi="宋体" w:eastAsia="宋体" w:cs="宋体"/>
          <w:sz w:val="24"/>
          <w:szCs w:val="24"/>
        </w:rPr>
        <w:t>应充分估</w:t>
      </w:r>
      <w:r>
        <w:rPr>
          <w:rFonts w:hint="eastAsia" w:ascii="宋体" w:hAnsi="宋体" w:eastAsia="宋体" w:cs="宋体"/>
          <w:sz w:val="24"/>
          <w:szCs w:val="24"/>
        </w:rPr>
        <w:t>价，甲方</w:t>
      </w:r>
      <w:r>
        <w:rPr>
          <w:rFonts w:hint="eastAsia" w:ascii="宋体" w:hAnsi="宋体" w:eastAsia="宋体" w:cs="宋体"/>
          <w:sz w:val="24"/>
          <w:szCs w:val="24"/>
        </w:rPr>
        <w:t>不接受任何因遗漏报价而发生的费用追加</w:t>
      </w:r>
      <w:r>
        <w:rPr>
          <w:rFonts w:hint="eastAsia" w:ascii="宋体" w:hAnsi="宋体" w:eastAsia="宋体" w:cs="宋体"/>
          <w:sz w:val="24"/>
          <w:szCs w:val="24"/>
        </w:rPr>
        <w:t>。</w:t>
      </w:r>
    </w:p>
    <w:p w14:paraId="6A4DD136">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2．支付进度：</w:t>
      </w:r>
    </w:p>
    <w:p w14:paraId="439F73B2">
      <w:pPr>
        <w:pStyle w:val="2"/>
        <w:keepLines w:val="0"/>
        <w:pageBreakBefore w:val="0"/>
        <w:kinsoku/>
        <w:overflowPunct/>
        <w:topLinePunct w:val="0"/>
        <w:bidi w:val="0"/>
        <w:snapToGrid/>
        <w:spacing w:line="360" w:lineRule="auto"/>
        <w:ind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lang w:val="en-US" w:eastAsia="zh-CN" w:bidi="ar-SA"/>
        </w:rPr>
        <w:t>合同签订之日起10日内市发改委向评估机构第一次付款，支付合同价款50%。</w:t>
      </w:r>
    </w:p>
    <w:p w14:paraId="7BF74ABF">
      <w:pPr>
        <w:pStyle w:val="2"/>
        <w:keepLines w:val="0"/>
        <w:pageBreakBefore w:val="0"/>
        <w:kinsoku/>
        <w:overflowPunct/>
        <w:topLinePunct w:val="0"/>
        <w:bidi w:val="0"/>
        <w:snapToGrid/>
        <w:spacing w:line="360" w:lineRule="auto"/>
        <w:ind w:firstLine="480" w:firstLineChars="200"/>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w:t>
      </w:r>
      <w:r>
        <w:rPr>
          <w:rFonts w:hint="eastAsia" w:ascii="宋体" w:hAnsi="宋体" w:eastAsia="宋体" w:cs="宋体"/>
          <w:kern w:val="0"/>
          <w:sz w:val="24"/>
          <w:szCs w:val="24"/>
          <w:lang w:val="en-US" w:eastAsia="zh-CN" w:bidi="ar-SA"/>
        </w:rPr>
        <w:t>评估机构完成项目25个时，市发改委向评估机构第二次付款，支付合同价款40%。若完成项目质量较差，项目单位及评审专家评价较差及以下情况超过三次，立即终止合同，不再支付合同剩余价款。</w:t>
      </w:r>
    </w:p>
    <w:p w14:paraId="6C7267F5">
      <w:pPr>
        <w:pStyle w:val="2"/>
        <w:keepLines w:val="0"/>
        <w:pageBreakBefore w:val="0"/>
        <w:kinsoku/>
        <w:overflowPunct/>
        <w:topLinePunct w:val="0"/>
        <w:bidi w:val="0"/>
        <w:snapToGrid/>
        <w:spacing w:line="360" w:lineRule="auto"/>
        <w:ind w:firstLine="480" w:firstLineChars="200"/>
        <w:jc w:val="both"/>
        <w:textAlignment w:val="auto"/>
        <w:rPr>
          <w:rFonts w:hint="eastAsia" w:ascii="宋体" w:hAnsi="宋体" w:eastAsia="宋体" w:cs="宋体"/>
          <w:sz w:val="28"/>
          <w:szCs w:val="28"/>
          <w:highlight w:val="none"/>
        </w:rPr>
      </w:pPr>
      <w:r>
        <w:rPr>
          <w:rFonts w:hint="eastAsia" w:ascii="宋体" w:hAnsi="宋体" w:eastAsia="宋体" w:cs="宋体"/>
          <w:kern w:val="0"/>
          <w:sz w:val="24"/>
          <w:szCs w:val="24"/>
          <w:lang w:val="en-US" w:eastAsia="zh-CN" w:bidi="ar-SA"/>
        </w:rPr>
        <w:t>（3）</w:t>
      </w:r>
      <w:r>
        <w:rPr>
          <w:rFonts w:hint="eastAsia" w:ascii="宋体" w:hAnsi="宋体" w:eastAsia="宋体" w:cs="宋体"/>
          <w:kern w:val="0"/>
          <w:sz w:val="24"/>
          <w:szCs w:val="24"/>
          <w:lang w:val="en-US" w:eastAsia="zh-CN" w:bidi="ar-SA"/>
        </w:rPr>
        <w:t>评估机构完成项目50个时，并经市发改委审核通过后，市发改委向评估机构支付剩余的合同价款（合同价款10%）。</w:t>
      </w:r>
    </w:p>
    <w:p w14:paraId="2E8E9E1A">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3．支付方式：银行转账。</w:t>
      </w:r>
    </w:p>
    <w:p w14:paraId="30540DAF">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rPr>
      </w:pPr>
      <w:r>
        <w:rPr>
          <w:rFonts w:hint="eastAsia" w:ascii="宋体" w:hAnsi="宋体" w:eastAsia="宋体" w:cs="宋体"/>
        </w:rPr>
        <w:t xml:space="preserve">开户名称：__________________ </w:t>
      </w:r>
    </w:p>
    <w:p w14:paraId="239DBBEE">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rPr>
      </w:pPr>
      <w:r>
        <w:rPr>
          <w:rFonts w:hint="eastAsia" w:ascii="宋体" w:hAnsi="宋体" w:eastAsia="宋体" w:cs="宋体"/>
        </w:rPr>
        <w:t>开 户 行：__________________</w:t>
      </w:r>
    </w:p>
    <w:p w14:paraId="753F6CA1">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rPr>
      </w:pPr>
      <w:r>
        <w:rPr>
          <w:rFonts w:hint="eastAsia" w:ascii="宋体" w:hAnsi="宋体" w:eastAsia="宋体" w:cs="宋体"/>
        </w:rPr>
        <w:t>账    号：__________________</w:t>
      </w:r>
    </w:p>
    <w:p w14:paraId="1D374E28">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4．结算方式：乙方持中标通知书、服务合同、正式发票、政府采购项目验收单，与甲方进行结算。</w:t>
      </w:r>
    </w:p>
    <w:p w14:paraId="6DBE1D22">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w:t>
      </w:r>
      <w:r>
        <w:rPr>
          <w:rFonts w:hint="eastAsia" w:ascii="宋体" w:hAnsi="宋体" w:eastAsia="宋体" w:cs="宋体"/>
          <w:b/>
        </w:rPr>
        <w:t>三</w:t>
      </w:r>
      <w:r>
        <w:rPr>
          <w:rFonts w:hint="eastAsia" w:ascii="宋体" w:hAnsi="宋体" w:eastAsia="宋体" w:cs="宋体"/>
          <w:b/>
        </w:rPr>
        <w:t>条</w:t>
      </w:r>
      <w:r>
        <w:rPr>
          <w:rFonts w:hint="eastAsia" w:ascii="宋体" w:hAnsi="宋体" w:eastAsia="宋体" w:cs="宋体"/>
          <w:b/>
        </w:rPr>
        <w:t>　服务保证</w:t>
      </w:r>
    </w:p>
    <w:p w14:paraId="3170A1EE">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1．乙方应提供详细的服务标准和服务承诺，服务标准应当符合国家、行业和地方相关咨询评估服务标准。</w:t>
      </w:r>
    </w:p>
    <w:p w14:paraId="4900F59C">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2．乙方应当保持相关人员稳定，不得擅自更换服务人员。确需更换时，必须提前7天书面征得甲方同意。</w:t>
      </w:r>
    </w:p>
    <w:p w14:paraId="44DB4CD2">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rPr>
      </w:pPr>
      <w:r>
        <w:rPr>
          <w:rFonts w:hint="eastAsia" w:ascii="宋体" w:hAnsi="宋体" w:eastAsia="宋体" w:cs="宋体"/>
          <w:sz w:val="24"/>
          <w:szCs w:val="24"/>
        </w:rPr>
        <w:t>3</w:t>
      </w:r>
      <w:r>
        <w:rPr>
          <w:rFonts w:hint="eastAsia" w:ascii="宋体" w:hAnsi="宋体" w:eastAsia="宋体" w:cs="宋体"/>
          <w:sz w:val="24"/>
          <w:szCs w:val="24"/>
        </w:rPr>
        <w:t>、乙方应建立完善的员工奖惩制度，确保各项服务高标准完成。</w:t>
      </w:r>
    </w:p>
    <w:p w14:paraId="2C1EE464">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w:t>
      </w:r>
      <w:r>
        <w:rPr>
          <w:rFonts w:hint="eastAsia" w:ascii="宋体" w:hAnsi="宋体" w:eastAsia="宋体" w:cs="宋体"/>
          <w:b/>
        </w:rPr>
        <w:t>四</w:t>
      </w:r>
      <w:r>
        <w:rPr>
          <w:rFonts w:hint="eastAsia" w:ascii="宋体" w:hAnsi="宋体" w:eastAsia="宋体" w:cs="宋体"/>
          <w:b/>
        </w:rPr>
        <w:t>条</w:t>
      </w:r>
      <w:r>
        <w:rPr>
          <w:rFonts w:hint="eastAsia" w:ascii="宋体" w:hAnsi="宋体" w:eastAsia="宋体" w:cs="宋体"/>
          <w:b/>
        </w:rPr>
        <w:t>　验收标准及条件</w:t>
      </w:r>
    </w:p>
    <w:p w14:paraId="382C8A79">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1．验收：服务期</w:t>
      </w:r>
      <w:r>
        <w:rPr>
          <w:rFonts w:hint="eastAsia" w:ascii="宋体" w:hAnsi="宋体" w:eastAsia="宋体" w:cs="宋体"/>
          <w:sz w:val="24"/>
          <w:szCs w:val="24"/>
        </w:rPr>
        <w:t>满后，</w:t>
      </w:r>
      <w:r>
        <w:rPr>
          <w:rFonts w:hint="eastAsia" w:ascii="宋体" w:hAnsi="宋体" w:eastAsia="宋体" w:cs="宋体"/>
          <w:sz w:val="24"/>
          <w:szCs w:val="24"/>
        </w:rPr>
        <w:t>乙方向甲方提交验收申请，甲方组织乙方对本项目服务质量整体验收，</w:t>
      </w:r>
      <w:r>
        <w:rPr>
          <w:rFonts w:hint="eastAsia" w:ascii="宋体" w:hAnsi="宋体" w:eastAsia="宋体" w:cs="宋体"/>
          <w:sz w:val="24"/>
          <w:szCs w:val="24"/>
        </w:rPr>
        <w:t>确认服务标准和服务方式是否达到采购要求（必要时甲方可委托技术专家对</w:t>
      </w:r>
      <w:r>
        <w:rPr>
          <w:rFonts w:hint="eastAsia" w:ascii="宋体" w:hAnsi="宋体" w:eastAsia="宋体" w:cs="宋体"/>
          <w:sz w:val="24"/>
          <w:szCs w:val="24"/>
        </w:rPr>
        <w:t>项目</w:t>
      </w:r>
      <w:r>
        <w:rPr>
          <w:rFonts w:hint="eastAsia" w:ascii="宋体" w:hAnsi="宋体" w:eastAsia="宋体" w:cs="宋体"/>
          <w:sz w:val="24"/>
          <w:szCs w:val="24"/>
        </w:rPr>
        <w:t>进行验收）</w:t>
      </w:r>
      <w:r>
        <w:rPr>
          <w:rFonts w:hint="eastAsia" w:ascii="宋体" w:hAnsi="宋体" w:eastAsia="宋体" w:cs="宋体"/>
          <w:sz w:val="24"/>
          <w:szCs w:val="24"/>
        </w:rPr>
        <w:t>。验收合格后，填写政府采购项目验收单（一式伍份）作为对服务的最终认可。</w:t>
      </w:r>
    </w:p>
    <w:p w14:paraId="1FC91C00">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．验收依据：</w:t>
      </w:r>
    </w:p>
    <w:p w14:paraId="0143EFE4">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656A0AC">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645EABB8">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EEE90E5">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．乙方应向甲方提交项目实施过程中的所有资料，以便甲方日后管理和维护。</w:t>
      </w:r>
    </w:p>
    <w:p w14:paraId="4139514C">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第五条　双方的权利和义务</w:t>
      </w:r>
    </w:p>
    <w:p w14:paraId="4EF09B9D">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1．甲方的权利和义务</w:t>
      </w:r>
    </w:p>
    <w:p w14:paraId="7F8EA90D">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（1）甲方应明确乙方服务的工作任务和工作要求。</w:t>
      </w:r>
    </w:p>
    <w:p w14:paraId="1EF861D1">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（2）甲方有权监督、指导服务事项进展，督促乙方加强对工作人员日常管理。</w:t>
      </w:r>
    </w:p>
    <w:p w14:paraId="39CD5FC6">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（3）甲方有权对乙方服务事项开展情况进行监督，并提出整改建议。</w:t>
      </w:r>
    </w:p>
    <w:p w14:paraId="16E00866">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4</w:t>
      </w:r>
      <w:r>
        <w:rPr>
          <w:rFonts w:hint="eastAsia" w:ascii="宋体" w:hAnsi="宋体" w:eastAsia="宋体" w:cs="宋体"/>
          <w:sz w:val="24"/>
          <w:szCs w:val="24"/>
        </w:rPr>
        <w:t>）如乙方工作人员提供的服务无法达到标准（如无法胜任工作、严重违纪等行为），甲方有权要求乙方更换工作人员。</w:t>
      </w:r>
    </w:p>
    <w:p w14:paraId="2BAEDFE3">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5</w:t>
      </w:r>
      <w:r>
        <w:rPr>
          <w:rFonts w:hint="eastAsia" w:ascii="宋体" w:hAnsi="宋体" w:eastAsia="宋体" w:cs="宋体"/>
          <w:sz w:val="24"/>
          <w:szCs w:val="24"/>
        </w:rPr>
        <w:t>）乙方驻场管理人员的派遣、调换均须经甲方书面同意。</w:t>
      </w:r>
    </w:p>
    <w:p w14:paraId="6ECFCF18">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6</w:t>
      </w:r>
      <w:r>
        <w:rPr>
          <w:rFonts w:hint="eastAsia" w:ascii="宋体" w:hAnsi="宋体" w:eastAsia="宋体" w:cs="宋体"/>
          <w:sz w:val="24"/>
          <w:szCs w:val="24"/>
        </w:rPr>
        <w:t>）甲方按照合同要求按时向乙方支付服务费用。</w:t>
      </w:r>
    </w:p>
    <w:p w14:paraId="3548BE6F">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2．乙方的权利和义务</w:t>
      </w:r>
    </w:p>
    <w:p w14:paraId="42BE85C3">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1</w:t>
      </w:r>
      <w:r>
        <w:rPr>
          <w:rFonts w:hint="eastAsia" w:ascii="宋体" w:hAnsi="宋体" w:eastAsia="宋体" w:cs="宋体"/>
          <w:sz w:val="24"/>
          <w:szCs w:val="24"/>
        </w:rPr>
        <w:t>）乙方应督促和监督工作人员自觉遵守相关工作管理制度。</w:t>
      </w:r>
    </w:p>
    <w:p w14:paraId="221E50B9">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rPr>
        <w:t>）乙方应按甲方要求及时向其汇报工作进展</w:t>
      </w:r>
      <w:r>
        <w:rPr>
          <w:rFonts w:hint="eastAsia" w:ascii="宋体" w:hAnsi="宋体" w:eastAsia="宋体" w:cs="宋体"/>
          <w:sz w:val="24"/>
          <w:szCs w:val="24"/>
        </w:rPr>
        <w:t>。</w:t>
      </w:r>
    </w:p>
    <w:p w14:paraId="000B9C9B">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（3）乙方在项目执行过程中所涉及的甲方全部数据、资料、往来文件等承担保密义务。</w:t>
      </w:r>
    </w:p>
    <w:p w14:paraId="5883A027">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（4）国家法律、法规所规定由乙方承担的其它责任。</w:t>
      </w:r>
    </w:p>
    <w:p w14:paraId="4CA3DAB3">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第六条  保密条款</w:t>
      </w:r>
    </w:p>
    <w:p w14:paraId="4509E709">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7F10E3A">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第七条　违约责任</w:t>
      </w:r>
    </w:p>
    <w:p w14:paraId="3158F85F">
      <w:pPr>
        <w:keepLines w:val="0"/>
        <w:pageBreakBefore w:val="0"/>
        <w:widowControl/>
        <w:kinsoku/>
        <w:overflowPunct/>
        <w:topLinePunct w:val="0"/>
        <w:autoSpaceDE/>
        <w:autoSpaceDN/>
        <w:bidi w:val="0"/>
        <w:adjustRightInd/>
        <w:snapToGrid/>
        <w:spacing w:line="360" w:lineRule="auto"/>
        <w:ind w:firstLine="567"/>
        <w:jc w:val="both"/>
        <w:textAlignment w:val="auto"/>
        <w:rPr>
          <w:rFonts w:hint="eastAsia" w:ascii="宋体" w:hAnsi="宋体" w:eastAsia="宋体" w:cs="宋体"/>
        </w:rPr>
      </w:pPr>
      <w:r>
        <w:rPr>
          <w:rFonts w:hint="eastAsia" w:ascii="宋体" w:hAnsi="宋体" w:eastAsia="宋体" w:cs="宋体"/>
        </w:rPr>
        <w:t>1.按《民法典》中的相关条款执行。</w:t>
      </w:r>
    </w:p>
    <w:p w14:paraId="3D3D3432">
      <w:pPr>
        <w:keepLines w:val="0"/>
        <w:pageBreakBefore w:val="0"/>
        <w:widowControl/>
        <w:kinsoku/>
        <w:overflowPunct/>
        <w:topLinePunct w:val="0"/>
        <w:autoSpaceDE/>
        <w:autoSpaceDN/>
        <w:bidi w:val="0"/>
        <w:adjustRightInd/>
        <w:snapToGrid/>
        <w:spacing w:line="360" w:lineRule="auto"/>
        <w:ind w:firstLine="567"/>
        <w:jc w:val="both"/>
        <w:textAlignment w:val="auto"/>
        <w:rPr>
          <w:rFonts w:hint="eastAsia" w:ascii="宋体" w:hAnsi="宋体" w:eastAsia="宋体" w:cs="宋体"/>
        </w:rPr>
      </w:pPr>
      <w:r>
        <w:rPr>
          <w:rFonts w:hint="eastAsia" w:ascii="宋体" w:hAnsi="宋体" w:eastAsia="宋体" w:cs="宋体"/>
        </w:rPr>
        <w:t>2.未按合同要求提供服务或服务质量不能满足合同要求，甲方应当将乙方违约的情况以及拟采取的措施以书面形式报政府采购监管部门， 根据政府采购监管部门的处理意见，甲方有权单方面终止合同，并要求乙方承担违约责任。同时，政府采购监管部门有权依据《政府采购法》及相关法律法规对乙方的违法行为进行相应的处罚。</w:t>
      </w:r>
    </w:p>
    <w:p w14:paraId="70083A47">
      <w:pPr>
        <w:keepLines w:val="0"/>
        <w:pageBreakBefore w:val="0"/>
        <w:widowControl/>
        <w:kinsoku/>
        <w:overflowPunct/>
        <w:topLinePunct w:val="0"/>
        <w:autoSpaceDE/>
        <w:autoSpaceDN/>
        <w:bidi w:val="0"/>
        <w:adjustRightInd/>
        <w:snapToGrid/>
        <w:spacing w:line="360" w:lineRule="auto"/>
        <w:ind w:firstLine="567"/>
        <w:jc w:val="both"/>
        <w:textAlignment w:val="auto"/>
        <w:rPr>
          <w:rFonts w:hint="eastAsia" w:ascii="宋体" w:hAnsi="宋体" w:eastAsia="宋体" w:cs="宋体"/>
        </w:rPr>
      </w:pPr>
      <w:r>
        <w:rPr>
          <w:rFonts w:hint="eastAsia" w:ascii="宋体" w:hAnsi="宋体" w:eastAsia="宋体" w:cs="宋体"/>
        </w:rPr>
        <w:t>3.在本合同履行过程中，双方因违约或造成对方经济、社会效益等损失的应当赔偿，包括但不限于律师费、差旅费、诉讼费、调查费、公证费、鉴定费、专家证人出庭费、诉讼保全保险费等。</w:t>
      </w:r>
    </w:p>
    <w:p w14:paraId="06B0A703">
      <w:pPr>
        <w:keepLines w:val="0"/>
        <w:pageBreakBefore w:val="0"/>
        <w:widowControl/>
        <w:kinsoku/>
        <w:overflowPunct/>
        <w:topLinePunct w:val="0"/>
        <w:autoSpaceDE/>
        <w:autoSpaceDN/>
        <w:bidi w:val="0"/>
        <w:adjustRightInd/>
        <w:snapToGrid/>
        <w:spacing w:line="360" w:lineRule="auto"/>
        <w:ind w:firstLine="567"/>
        <w:jc w:val="both"/>
        <w:textAlignment w:val="auto"/>
        <w:rPr>
          <w:rFonts w:hint="eastAsia" w:ascii="宋体" w:hAnsi="宋体" w:eastAsia="宋体" w:cs="宋体"/>
        </w:rPr>
      </w:pPr>
      <w:r>
        <w:rPr>
          <w:rFonts w:hint="eastAsia" w:ascii="宋体" w:hAnsi="宋体" w:eastAsia="宋体" w:cs="宋体"/>
        </w:rPr>
        <w:t>4.乙方提供的服务不符合本项目相关文件和本合同规定的，甲方有权拒绝。</w:t>
      </w:r>
    </w:p>
    <w:p w14:paraId="4203E340">
      <w:pPr>
        <w:keepLines w:val="0"/>
        <w:pageBreakBefore w:val="0"/>
        <w:widowControl/>
        <w:kinsoku/>
        <w:overflowPunct/>
        <w:topLinePunct w:val="0"/>
        <w:autoSpaceDE/>
        <w:autoSpaceDN/>
        <w:bidi w:val="0"/>
        <w:adjustRightInd/>
        <w:snapToGrid/>
        <w:spacing w:line="360" w:lineRule="auto"/>
        <w:ind w:firstLine="567"/>
        <w:jc w:val="both"/>
        <w:textAlignment w:val="auto"/>
        <w:rPr>
          <w:rFonts w:hint="eastAsia" w:ascii="宋体" w:hAnsi="宋体" w:eastAsia="宋体" w:cs="宋体"/>
        </w:rPr>
      </w:pPr>
      <w:r>
        <w:rPr>
          <w:rFonts w:hint="eastAsia" w:ascii="宋体" w:hAnsi="宋体" w:eastAsia="宋体" w:cs="宋体"/>
        </w:rPr>
        <w:t>5.未经甲方同意，乙方不得擅自将本合同服务转包或分包第三方承担。</w:t>
      </w:r>
    </w:p>
    <w:p w14:paraId="3398CD55">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第八条　不可抗力事件处理</w:t>
      </w:r>
    </w:p>
    <w:p w14:paraId="0809FCC4">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0232983D">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2．不可抗力事件发生后，应立即通知对方，并寄送有关权威机构出具的证明。一方因未及时履行通知义务致使损失扩大的，应向另一方赔偿由此遭受的损失。</w:t>
      </w:r>
    </w:p>
    <w:p w14:paraId="6A071601">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rPr>
        <w:t>15个日历日</w:t>
      </w:r>
      <w:r>
        <w:rPr>
          <w:rFonts w:hint="eastAsia" w:ascii="宋体" w:hAnsi="宋体" w:eastAsia="宋体" w:cs="宋体"/>
          <w:sz w:val="24"/>
          <w:szCs w:val="24"/>
        </w:rPr>
        <w:t>以上，双方应通过友好协商，确定是否继续履行合同。</w:t>
      </w:r>
    </w:p>
    <w:p w14:paraId="2CE406E6">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第九条　合同的变更和终止</w:t>
      </w:r>
    </w:p>
    <w:p w14:paraId="42E96A90">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0FA9FB52">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第十条　解决合同纠纷的方式</w:t>
      </w:r>
    </w:p>
    <w:p w14:paraId="071B2693">
      <w:pPr>
        <w:keepLines w:val="0"/>
        <w:pageBreakBefore w:val="0"/>
        <w:widowControl/>
        <w:kinsoku/>
        <w:overflowPunct/>
        <w:topLinePunct w:val="0"/>
        <w:autoSpaceDE/>
        <w:autoSpaceDN/>
        <w:bidi w:val="0"/>
        <w:adjustRightInd/>
        <w:snapToGrid/>
        <w:spacing w:line="360" w:lineRule="auto"/>
        <w:ind w:firstLine="567"/>
        <w:jc w:val="both"/>
        <w:textAlignment w:val="auto"/>
        <w:rPr>
          <w:rFonts w:hint="eastAsia" w:ascii="宋体" w:hAnsi="宋体" w:eastAsia="宋体" w:cs="宋体"/>
        </w:rPr>
      </w:pPr>
      <w:r>
        <w:rPr>
          <w:rFonts w:hint="eastAsia" w:ascii="宋体" w:hAnsi="宋体" w:eastAsia="宋体" w:cs="宋体"/>
        </w:rPr>
        <w:t>对本合同执行过程中发生的一切争议，双方应友好协商解决，如协商不能解决，依法向甲方</w:t>
      </w:r>
      <w:r>
        <w:rPr>
          <w:rFonts w:hint="eastAsia" w:ascii="宋体" w:hAnsi="宋体" w:eastAsia="宋体" w:cs="宋体"/>
        </w:rPr>
        <w:t>所在地</w:t>
      </w:r>
      <w:r>
        <w:rPr>
          <w:rFonts w:hint="eastAsia" w:ascii="宋体" w:hAnsi="宋体" w:eastAsia="宋体" w:cs="宋体"/>
        </w:rPr>
        <w:t>有管辖权</w:t>
      </w:r>
      <w:r>
        <w:rPr>
          <w:rFonts w:hint="eastAsia" w:ascii="宋体" w:hAnsi="宋体" w:eastAsia="宋体" w:cs="宋体"/>
        </w:rPr>
        <w:t>的</w:t>
      </w:r>
      <w:r>
        <w:rPr>
          <w:rFonts w:hint="eastAsia" w:ascii="宋体" w:hAnsi="宋体" w:eastAsia="宋体" w:cs="宋体"/>
        </w:rPr>
        <w:t>人民法院提起诉讼。</w:t>
      </w:r>
    </w:p>
    <w:p w14:paraId="37A38834">
      <w:pPr>
        <w:keepLines w:val="0"/>
        <w:pageBreakBefore w:val="0"/>
        <w:widowControl/>
        <w:kinsoku/>
        <w:overflowPunct/>
        <w:topLinePunct w:val="0"/>
        <w:autoSpaceDE/>
        <w:autoSpaceDN/>
        <w:bidi w:val="0"/>
        <w:adjustRightInd/>
        <w:snapToGrid/>
        <w:spacing w:line="360" w:lineRule="auto"/>
        <w:jc w:val="both"/>
        <w:textAlignment w:val="auto"/>
        <w:rPr>
          <w:rFonts w:hint="eastAsia" w:ascii="宋体" w:hAnsi="宋体" w:eastAsia="宋体" w:cs="宋体"/>
          <w:b/>
        </w:rPr>
      </w:pPr>
      <w:r>
        <w:rPr>
          <w:rFonts w:hint="eastAsia" w:ascii="宋体" w:hAnsi="宋体" w:eastAsia="宋体" w:cs="宋体"/>
          <w:b/>
        </w:rPr>
        <w:t>第十一条　合同生效及其他</w:t>
      </w:r>
    </w:p>
    <w:p w14:paraId="17AD1294">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1．合同经双方法定代表人（负责人）或授权委托代理人签名并加盖单位公章并由采购代理机构盖章后生效。</w:t>
      </w:r>
    </w:p>
    <w:p w14:paraId="65AE6984">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3BFCFC2">
      <w:pPr>
        <w:pStyle w:val="6"/>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3．本合同一式肆份，自双方签章之日起起效。甲方贰份，乙方贰份，具有同等法律效力。</w:t>
      </w:r>
    </w:p>
    <w:p w14:paraId="6F12DE2B">
      <w:pPr>
        <w:keepLines w:val="0"/>
        <w:pageBreakBefore w:val="0"/>
        <w:kinsoku/>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4EE58DBC">
      <w:pPr>
        <w:keepLines w:val="0"/>
        <w:pageBreakBefore w:val="0"/>
        <w:kinsoku/>
        <w:overflowPunct/>
        <w:topLinePunct w:val="0"/>
        <w:bidi w:val="0"/>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盖章页：</w:t>
      </w:r>
    </w:p>
    <w:p w14:paraId="0B348117">
      <w:pPr>
        <w:pStyle w:val="2"/>
        <w:keepLines w:val="0"/>
        <w:pageBreakBefore w:val="0"/>
        <w:kinsoku/>
        <w:overflowPunct/>
        <w:topLinePunct w:val="0"/>
        <w:bidi w:val="0"/>
        <w:snapToGrid/>
        <w:spacing w:line="360" w:lineRule="auto"/>
        <w:textAlignment w:val="auto"/>
        <w:rPr>
          <w:rFonts w:hint="eastAsia" w:ascii="宋体" w:hAnsi="宋体" w:eastAsia="宋体" w:cs="宋体"/>
          <w:lang w:val="en-US" w:eastAsia="zh-CN"/>
        </w:rPr>
      </w:pPr>
    </w:p>
    <w:tbl>
      <w:tblPr>
        <w:tblStyle w:val="4"/>
        <w:tblW w:w="0" w:type="auto"/>
        <w:jc w:val="center"/>
        <w:tblLayout w:type="fixed"/>
        <w:tblCellMar>
          <w:top w:w="0" w:type="dxa"/>
          <w:left w:w="108" w:type="dxa"/>
          <w:bottom w:w="0" w:type="dxa"/>
          <w:right w:w="108" w:type="dxa"/>
        </w:tblCellMar>
      </w:tblPr>
      <w:tblGrid>
        <w:gridCol w:w="4139"/>
        <w:gridCol w:w="4139"/>
      </w:tblGrid>
      <w:tr w14:paraId="2CE969C1">
        <w:tblPrEx>
          <w:tblCellMar>
            <w:top w:w="0" w:type="dxa"/>
            <w:left w:w="108" w:type="dxa"/>
            <w:bottom w:w="0" w:type="dxa"/>
            <w:right w:w="108" w:type="dxa"/>
          </w:tblCellMar>
        </w:tblPrEx>
        <w:trPr>
          <w:trHeight w:val="680" w:hRule="exact"/>
          <w:jc w:val="center"/>
        </w:trPr>
        <w:tc>
          <w:tcPr>
            <w:tcW w:w="4139" w:type="dxa"/>
            <w:noWrap w:val="0"/>
            <w:vAlign w:val="center"/>
          </w:tcPr>
          <w:p w14:paraId="72D0E1F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139" w:type="dxa"/>
            <w:noWrap w:val="0"/>
            <w:vAlign w:val="center"/>
          </w:tcPr>
          <w:p w14:paraId="76538948">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14:paraId="3119229D">
        <w:tblPrEx>
          <w:tblCellMar>
            <w:top w:w="0" w:type="dxa"/>
            <w:left w:w="108" w:type="dxa"/>
            <w:bottom w:w="0" w:type="dxa"/>
            <w:right w:w="108" w:type="dxa"/>
          </w:tblCellMar>
        </w:tblPrEx>
        <w:trPr>
          <w:trHeight w:val="590" w:hRule="exact"/>
          <w:jc w:val="center"/>
        </w:trPr>
        <w:tc>
          <w:tcPr>
            <w:tcW w:w="4139" w:type="dxa"/>
            <w:noWrap w:val="0"/>
            <w:vAlign w:val="center"/>
          </w:tcPr>
          <w:p w14:paraId="4F3B93DB">
            <w:pPr>
              <w:keepNext w:val="0"/>
              <w:keepLines w:val="0"/>
              <w:pageBreakBefore w:val="0"/>
              <w:widowControl w:val="0"/>
              <w:kinsoku/>
              <w:wordWrap/>
              <w:overflowPunct/>
              <w:topLinePunct w:val="0"/>
              <w:autoSpaceDE w:val="0"/>
              <w:autoSpaceDN w:val="0"/>
              <w:bidi w:val="0"/>
              <w:adjustRightInd w:val="0"/>
              <w:snapToGrid/>
              <w:spacing w:line="360" w:lineRule="auto"/>
              <w:ind w:firstLine="945" w:firstLineChars="4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139" w:type="dxa"/>
            <w:noWrap w:val="0"/>
            <w:vAlign w:val="center"/>
          </w:tcPr>
          <w:p w14:paraId="15BC6823">
            <w:pPr>
              <w:keepNext w:val="0"/>
              <w:keepLines w:val="0"/>
              <w:pageBreakBefore w:val="0"/>
              <w:widowControl w:val="0"/>
              <w:kinsoku/>
              <w:wordWrap/>
              <w:overflowPunct/>
              <w:topLinePunct w:val="0"/>
              <w:autoSpaceDE w:val="0"/>
              <w:autoSpaceDN w:val="0"/>
              <w:bidi w:val="0"/>
              <w:adjustRightInd w:val="0"/>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77BABA15">
        <w:tblPrEx>
          <w:tblCellMar>
            <w:top w:w="0" w:type="dxa"/>
            <w:left w:w="108" w:type="dxa"/>
            <w:bottom w:w="0" w:type="dxa"/>
            <w:right w:w="108" w:type="dxa"/>
          </w:tblCellMar>
        </w:tblPrEx>
        <w:trPr>
          <w:trHeight w:val="620" w:hRule="exact"/>
          <w:jc w:val="center"/>
        </w:trPr>
        <w:tc>
          <w:tcPr>
            <w:tcW w:w="4139" w:type="dxa"/>
            <w:noWrap w:val="0"/>
            <w:vAlign w:val="center"/>
          </w:tcPr>
          <w:p w14:paraId="1717EEF9">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139" w:type="dxa"/>
            <w:noWrap w:val="0"/>
            <w:vAlign w:val="center"/>
          </w:tcPr>
          <w:p w14:paraId="24C74D30">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6A65628C">
        <w:tblPrEx>
          <w:tblCellMar>
            <w:top w:w="0" w:type="dxa"/>
            <w:left w:w="108" w:type="dxa"/>
            <w:bottom w:w="0" w:type="dxa"/>
            <w:right w:w="108" w:type="dxa"/>
          </w:tblCellMar>
        </w:tblPrEx>
        <w:trPr>
          <w:trHeight w:val="575" w:hRule="exact"/>
          <w:jc w:val="center"/>
        </w:trPr>
        <w:tc>
          <w:tcPr>
            <w:tcW w:w="4139" w:type="dxa"/>
            <w:noWrap w:val="0"/>
            <w:vAlign w:val="center"/>
          </w:tcPr>
          <w:p w14:paraId="14426D4E">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139" w:type="dxa"/>
            <w:noWrap w:val="0"/>
            <w:vAlign w:val="center"/>
          </w:tcPr>
          <w:p w14:paraId="64F17F61">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695015A3">
        <w:tblPrEx>
          <w:tblCellMar>
            <w:top w:w="0" w:type="dxa"/>
            <w:left w:w="108" w:type="dxa"/>
            <w:bottom w:w="0" w:type="dxa"/>
            <w:right w:w="108" w:type="dxa"/>
          </w:tblCellMar>
        </w:tblPrEx>
        <w:trPr>
          <w:trHeight w:val="620" w:hRule="exact"/>
          <w:jc w:val="center"/>
        </w:trPr>
        <w:tc>
          <w:tcPr>
            <w:tcW w:w="4139" w:type="dxa"/>
            <w:noWrap w:val="0"/>
            <w:vAlign w:val="center"/>
          </w:tcPr>
          <w:p w14:paraId="39490563">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139" w:type="dxa"/>
            <w:noWrap w:val="0"/>
            <w:vAlign w:val="center"/>
          </w:tcPr>
          <w:p w14:paraId="335E2D7C">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47581674">
        <w:tblPrEx>
          <w:tblCellMar>
            <w:top w:w="0" w:type="dxa"/>
            <w:left w:w="108" w:type="dxa"/>
            <w:bottom w:w="0" w:type="dxa"/>
            <w:right w:w="108" w:type="dxa"/>
          </w:tblCellMar>
        </w:tblPrEx>
        <w:trPr>
          <w:trHeight w:val="650" w:hRule="exact"/>
          <w:jc w:val="center"/>
        </w:trPr>
        <w:tc>
          <w:tcPr>
            <w:tcW w:w="4139" w:type="dxa"/>
            <w:noWrap w:val="0"/>
            <w:vAlign w:val="center"/>
          </w:tcPr>
          <w:p w14:paraId="7604B47A">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139" w:type="dxa"/>
            <w:noWrap w:val="0"/>
            <w:vAlign w:val="center"/>
          </w:tcPr>
          <w:p w14:paraId="0FF3317B">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3C75D4BA">
        <w:tblPrEx>
          <w:tblCellMar>
            <w:top w:w="0" w:type="dxa"/>
            <w:left w:w="108" w:type="dxa"/>
            <w:bottom w:w="0" w:type="dxa"/>
            <w:right w:w="108" w:type="dxa"/>
          </w:tblCellMar>
        </w:tblPrEx>
        <w:trPr>
          <w:trHeight w:val="530" w:hRule="exact"/>
          <w:jc w:val="center"/>
        </w:trPr>
        <w:tc>
          <w:tcPr>
            <w:tcW w:w="4139" w:type="dxa"/>
            <w:noWrap w:val="0"/>
            <w:vAlign w:val="center"/>
          </w:tcPr>
          <w:p w14:paraId="5CA761B7">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139" w:type="dxa"/>
            <w:noWrap w:val="0"/>
            <w:vAlign w:val="center"/>
          </w:tcPr>
          <w:p w14:paraId="4E5EC7E1">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4133BB46">
        <w:tblPrEx>
          <w:tblCellMar>
            <w:top w:w="0" w:type="dxa"/>
            <w:left w:w="108" w:type="dxa"/>
            <w:bottom w:w="0" w:type="dxa"/>
            <w:right w:w="108" w:type="dxa"/>
          </w:tblCellMar>
        </w:tblPrEx>
        <w:trPr>
          <w:trHeight w:val="530" w:hRule="exact"/>
          <w:jc w:val="center"/>
        </w:trPr>
        <w:tc>
          <w:tcPr>
            <w:tcW w:w="4139" w:type="dxa"/>
            <w:noWrap w:val="0"/>
            <w:vAlign w:val="center"/>
          </w:tcPr>
          <w:p w14:paraId="328D9A91">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139" w:type="dxa"/>
            <w:noWrap w:val="0"/>
            <w:vAlign w:val="center"/>
          </w:tcPr>
          <w:p w14:paraId="14ADDED3">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2AF83BC1">
        <w:tblPrEx>
          <w:tblCellMar>
            <w:top w:w="0" w:type="dxa"/>
            <w:left w:w="108" w:type="dxa"/>
            <w:bottom w:w="0" w:type="dxa"/>
            <w:right w:w="108" w:type="dxa"/>
          </w:tblCellMar>
        </w:tblPrEx>
        <w:trPr>
          <w:trHeight w:val="665" w:hRule="exact"/>
          <w:jc w:val="center"/>
        </w:trPr>
        <w:tc>
          <w:tcPr>
            <w:tcW w:w="4139" w:type="dxa"/>
            <w:noWrap w:val="0"/>
            <w:vAlign w:val="center"/>
          </w:tcPr>
          <w:p w14:paraId="0A55F7AC">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139" w:type="dxa"/>
            <w:noWrap w:val="0"/>
            <w:vAlign w:val="center"/>
          </w:tcPr>
          <w:p w14:paraId="22500BDE">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474A550B">
        <w:tblPrEx>
          <w:tblCellMar>
            <w:top w:w="0" w:type="dxa"/>
            <w:left w:w="108" w:type="dxa"/>
            <w:bottom w:w="0" w:type="dxa"/>
            <w:right w:w="108" w:type="dxa"/>
          </w:tblCellMar>
        </w:tblPrEx>
        <w:trPr>
          <w:trHeight w:val="680" w:hRule="exact"/>
          <w:jc w:val="center"/>
        </w:trPr>
        <w:tc>
          <w:tcPr>
            <w:tcW w:w="4139" w:type="dxa"/>
            <w:noWrap w:val="0"/>
            <w:vAlign w:val="center"/>
          </w:tcPr>
          <w:p w14:paraId="1F628CFB">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139" w:type="dxa"/>
            <w:noWrap w:val="0"/>
            <w:vAlign w:val="center"/>
          </w:tcPr>
          <w:p w14:paraId="313492DB">
            <w:pPr>
              <w:keepNext w:val="0"/>
              <w:keepLines w:val="0"/>
              <w:pageBreakBefore w:val="0"/>
              <w:widowControl w:val="0"/>
              <w:tabs>
                <w:tab w:val="left" w:pos="0"/>
              </w:tabs>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7F415D19">
      <w:pPr>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3"/>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8F7DB7"/>
    <w:rsid w:val="638F7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kern w:val="0"/>
      <w:sz w:val="24"/>
      <w:szCs w:val="24"/>
      <w:lang w:val="en-US" w:eastAsia="zh-CN" w:bidi="ar-SA"/>
    </w:rPr>
  </w:style>
  <w:style w:type="paragraph" w:styleId="3">
    <w:name w:val="heading 1"/>
    <w:basedOn w:val="1"/>
    <w:next w:val="1"/>
    <w:qFormat/>
    <w:uiPriority w:val="0"/>
    <w:pPr>
      <w:keepNext/>
      <w:numPr>
        <w:ilvl w:val="0"/>
        <w:numId w:val="1"/>
      </w:numPr>
      <w:spacing w:before="50" w:beforeLines="50" w:after="50" w:afterLines="50"/>
      <w:jc w:val="center"/>
      <w:outlineLvl w:val="0"/>
    </w:pPr>
    <w:rPr>
      <w:rFonts w:ascii="Calibri" w:hAnsi="Calibri" w:eastAsia="黑体"/>
      <w:bCs/>
      <w:kern w:val="36"/>
      <w:sz w:val="36"/>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kern w:val="0"/>
    </w:rPr>
  </w:style>
  <w:style w:type="paragraph" w:customStyle="1" w:styleId="6">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2025-07-31T06:04:00Z</dcterms:created>
  <dc:creator>WPS_1617088470</dc:creator>
  <cp:lastModifiedBy>WPS_1617088470</cp:lastModifiedBy>
  <dcterms:modified xsi:type="dcterms:W3CDTF">2025-07-31T06:14:18Z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93F5E54AED244D81A9BA159F7FAA9F3B_11</vt:lpwstr>
  </property>
  <property fmtid="{D5CDD505-2E9C-101B-9397-08002B2CF9AE}" pid="4" name="KSOTemplateDocerSaveRecord">
    <vt:lpwstr>eyJoZGlkIjoiMWY1ODBjODE3MGYxNGZkZDhjODRlNTc3ZDcwZGNmNjciLCJ1c2VySWQiOiIxMjAxNjE3NTYyIn0=</vt:lpwstr>
  </property>
</Properties>
</file>