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1922E">
      <w:pPr>
        <w:adjustRightInd w:val="0"/>
        <w:snapToGrid w:val="0"/>
        <w:spacing w:line="360" w:lineRule="auto"/>
        <w:jc w:val="center"/>
        <w:rPr>
          <w:rFonts w:hint="default" w:ascii="Times New Roman" w:hAnsi="Times New Roman" w:eastAsia="仿宋_GB2312" w:cs="Times New Roman"/>
          <w:b/>
          <w:bCs/>
          <w:sz w:val="40"/>
          <w:szCs w:val="40"/>
          <w:highlight w:val="none"/>
        </w:rPr>
      </w:pPr>
    </w:p>
    <w:p w14:paraId="14FB6926">
      <w:pPr>
        <w:spacing w:line="360" w:lineRule="auto"/>
        <w:jc w:val="center"/>
        <w:outlineLvl w:val="0"/>
        <w:rPr>
          <w:rFonts w:hint="default" w:ascii="Times New Roman" w:hAnsi="Times New Roman" w:eastAsia="仿宋_GB2312" w:cs="Times New Roman"/>
          <w:b/>
          <w:sz w:val="48"/>
          <w:szCs w:val="48"/>
          <w:highlight w:val="none"/>
        </w:rPr>
      </w:pPr>
      <w:bookmarkStart w:id="0" w:name="_Toc20344"/>
      <w:r>
        <w:rPr>
          <w:rFonts w:hint="default" w:ascii="Times New Roman" w:hAnsi="Times New Roman" w:eastAsia="仿宋_GB2312" w:cs="Times New Roman"/>
          <w:b/>
          <w:sz w:val="48"/>
          <w:szCs w:val="48"/>
          <w:highlight w:val="none"/>
        </w:rPr>
        <w:t>2025年西安市市级部门等保测评</w:t>
      </w:r>
      <w:bookmarkEnd w:id="0"/>
    </w:p>
    <w:p w14:paraId="2629ED06">
      <w:pPr>
        <w:pStyle w:val="3"/>
        <w:rPr>
          <w:rFonts w:hint="default" w:ascii="Times New Roman" w:hAnsi="Times New Roman" w:eastAsia="仿宋_GB2312" w:cs="Times New Roman"/>
          <w:highlight w:val="none"/>
        </w:rPr>
      </w:pPr>
    </w:p>
    <w:p w14:paraId="7A3210CC">
      <w:pPr>
        <w:spacing w:line="360" w:lineRule="auto"/>
        <w:jc w:val="center"/>
        <w:outlineLvl w:val="0"/>
        <w:rPr>
          <w:rFonts w:hint="default" w:ascii="Times New Roman" w:hAnsi="Times New Roman" w:eastAsia="仿宋_GB2312" w:cs="Times New Roman"/>
          <w:b/>
          <w:sz w:val="48"/>
          <w:szCs w:val="48"/>
          <w:highlight w:val="none"/>
          <w:lang w:val="en-US" w:eastAsia="zh-CN"/>
        </w:rPr>
      </w:pPr>
      <w:bookmarkStart w:id="1" w:name="_Toc25015"/>
      <w:r>
        <w:rPr>
          <w:rFonts w:hint="default" w:ascii="Times New Roman" w:hAnsi="Times New Roman" w:eastAsia="仿宋_GB2312" w:cs="Times New Roman"/>
          <w:b/>
          <w:sz w:val="48"/>
          <w:szCs w:val="48"/>
          <w:highlight w:val="none"/>
        </w:rPr>
        <w:t>集采分用项目</w:t>
      </w:r>
      <w:bookmarkEnd w:id="1"/>
    </w:p>
    <w:p w14:paraId="4324495E">
      <w:pPr>
        <w:jc w:val="center"/>
        <w:outlineLvl w:val="9"/>
        <w:rPr>
          <w:rFonts w:hint="default" w:ascii="Times New Roman" w:hAnsi="Times New Roman" w:eastAsia="仿宋_GB2312" w:cs="Times New Roman"/>
          <w:b/>
          <w:sz w:val="72"/>
          <w:szCs w:val="72"/>
          <w:highlight w:val="none"/>
        </w:rPr>
      </w:pPr>
    </w:p>
    <w:p w14:paraId="07201A9F">
      <w:pPr>
        <w:jc w:val="center"/>
        <w:outlineLvl w:val="9"/>
        <w:rPr>
          <w:rFonts w:hint="default" w:ascii="Times New Roman" w:hAnsi="Times New Roman" w:eastAsia="仿宋_GB2312" w:cs="Times New Roman"/>
          <w:b/>
          <w:sz w:val="72"/>
          <w:szCs w:val="72"/>
          <w:highlight w:val="none"/>
        </w:rPr>
      </w:pPr>
    </w:p>
    <w:p w14:paraId="4B23BE90">
      <w:pPr>
        <w:jc w:val="center"/>
        <w:outlineLvl w:val="9"/>
        <w:rPr>
          <w:rFonts w:hint="default" w:ascii="Times New Roman" w:hAnsi="Times New Roman" w:eastAsia="仿宋_GB2312" w:cs="Times New Roman"/>
          <w:b/>
          <w:sz w:val="72"/>
          <w:szCs w:val="72"/>
          <w:highlight w:val="none"/>
        </w:rPr>
      </w:pPr>
    </w:p>
    <w:p w14:paraId="7C52CEEB">
      <w:pPr>
        <w:jc w:val="center"/>
        <w:outlineLvl w:val="0"/>
        <w:rPr>
          <w:rFonts w:hint="default" w:ascii="Times New Roman" w:hAnsi="Times New Roman" w:eastAsia="仿宋_GB2312" w:cs="Times New Roman"/>
          <w:sz w:val="30"/>
          <w:szCs w:val="30"/>
          <w:highlight w:val="none"/>
        </w:rPr>
      </w:pPr>
      <w:bookmarkStart w:id="2" w:name="_Toc29076"/>
      <w:r>
        <w:rPr>
          <w:rFonts w:hint="default" w:ascii="Times New Roman" w:hAnsi="Times New Roman" w:eastAsia="仿宋_GB2312" w:cs="Times New Roman"/>
          <w:b/>
          <w:sz w:val="72"/>
          <w:szCs w:val="72"/>
          <w:highlight w:val="none"/>
        </w:rPr>
        <w:t>服 务 合 同</w:t>
      </w:r>
      <w:bookmarkEnd w:id="2"/>
    </w:p>
    <w:p w14:paraId="3921545F">
      <w:pPr>
        <w:jc w:val="center"/>
        <w:outlineLvl w:val="0"/>
        <w:rPr>
          <w:rFonts w:hint="default" w:ascii="Times New Roman" w:hAnsi="Times New Roman" w:eastAsia="仿宋_GB2312" w:cs="Times New Roman"/>
          <w:sz w:val="30"/>
          <w:szCs w:val="30"/>
          <w:highlight w:val="none"/>
        </w:rPr>
      </w:pPr>
      <w:bookmarkStart w:id="3" w:name="_Toc30753"/>
      <w:r>
        <w:rPr>
          <w:rFonts w:hint="default" w:ascii="Times New Roman" w:hAnsi="Times New Roman" w:eastAsia="仿宋_GB2312" w:cs="Times New Roman"/>
          <w:sz w:val="30"/>
          <w:szCs w:val="30"/>
          <w:highlight w:val="none"/>
        </w:rPr>
        <w:t>（编号：</w:t>
      </w:r>
      <w:r>
        <w:rPr>
          <w:rFonts w:hint="default" w:ascii="Times New Roman" w:hAnsi="Times New Roman" w:eastAsia="仿宋_GB2312" w:cs="Times New Roman"/>
          <w:sz w:val="30"/>
          <w:szCs w:val="30"/>
          <w:highlight w:val="none"/>
          <w:lang w:val="en-US" w:eastAsia="zh-CN"/>
        </w:rPr>
        <w:t xml:space="preserve">  </w:t>
      </w:r>
      <w:r>
        <w:rPr>
          <w:rFonts w:hint="default" w:ascii="Times New Roman" w:hAnsi="Times New Roman" w:eastAsia="仿宋_GB2312" w:cs="Times New Roman"/>
          <w:sz w:val="30"/>
          <w:szCs w:val="30"/>
          <w:highlight w:val="none"/>
        </w:rPr>
        <w:t>）</w:t>
      </w:r>
      <w:bookmarkEnd w:id="3"/>
    </w:p>
    <w:p w14:paraId="7111AD5C">
      <w:pPr>
        <w:jc w:val="center"/>
        <w:rPr>
          <w:rFonts w:hint="default" w:ascii="Times New Roman" w:hAnsi="Times New Roman" w:eastAsia="仿宋_GB2312" w:cs="Times New Roman"/>
          <w:sz w:val="30"/>
          <w:szCs w:val="30"/>
          <w:highlight w:val="none"/>
        </w:rPr>
      </w:pPr>
    </w:p>
    <w:p w14:paraId="3820F7EE">
      <w:pPr>
        <w:jc w:val="both"/>
        <w:rPr>
          <w:rFonts w:hint="default" w:ascii="Times New Roman" w:hAnsi="Times New Roman" w:eastAsia="仿宋_GB2312" w:cs="Times New Roman"/>
          <w:sz w:val="28"/>
          <w:szCs w:val="28"/>
          <w:highlight w:val="none"/>
        </w:rPr>
      </w:pPr>
    </w:p>
    <w:p w14:paraId="50369482">
      <w:pPr>
        <w:keepNext w:val="0"/>
        <w:keepLines w:val="0"/>
        <w:pageBreakBefore w:val="0"/>
        <w:widowControl w:val="0"/>
        <w:kinsoku/>
        <w:wordWrap/>
        <w:overflowPunct/>
        <w:topLinePunct w:val="0"/>
        <w:autoSpaceDE/>
        <w:autoSpaceDN/>
        <w:bidi w:val="0"/>
        <w:adjustRightInd/>
        <w:snapToGrid/>
        <w:ind w:firstLine="960" w:firstLineChars="300"/>
        <w:jc w:val="left"/>
        <w:textAlignment w:val="auto"/>
        <w:rPr>
          <w:rFonts w:hint="default" w:ascii="Times New Roman" w:hAnsi="Times New Roman" w:eastAsia="仿宋_GB2312" w:cs="Times New Roman"/>
          <w:sz w:val="32"/>
          <w:szCs w:val="32"/>
          <w:highlight w:val="none"/>
        </w:rPr>
      </w:pPr>
    </w:p>
    <w:p w14:paraId="4CCC37DF">
      <w:pPr>
        <w:keepNext w:val="0"/>
        <w:keepLines w:val="0"/>
        <w:pageBreakBefore w:val="0"/>
        <w:widowControl w:val="0"/>
        <w:kinsoku/>
        <w:wordWrap/>
        <w:overflowPunct/>
        <w:topLinePunct w:val="0"/>
        <w:autoSpaceDE/>
        <w:autoSpaceDN/>
        <w:bidi w:val="0"/>
        <w:adjustRightInd/>
        <w:snapToGrid/>
        <w:ind w:firstLine="960" w:firstLineChars="300"/>
        <w:jc w:val="left"/>
        <w:textAlignment w:val="auto"/>
        <w:rPr>
          <w:rFonts w:hint="default" w:ascii="Times New Roman" w:hAnsi="Times New Roman" w:eastAsia="仿宋_GB2312" w:cs="Times New Roman"/>
          <w:sz w:val="32"/>
          <w:szCs w:val="32"/>
          <w:highlight w:val="none"/>
        </w:rPr>
      </w:pPr>
    </w:p>
    <w:p w14:paraId="725859B6">
      <w:pPr>
        <w:keepNext w:val="0"/>
        <w:keepLines w:val="0"/>
        <w:pageBreakBefore w:val="0"/>
        <w:widowControl w:val="0"/>
        <w:kinsoku/>
        <w:wordWrap/>
        <w:overflowPunct/>
        <w:topLinePunct w:val="0"/>
        <w:autoSpaceDE/>
        <w:autoSpaceDN/>
        <w:bidi w:val="0"/>
        <w:adjustRightInd/>
        <w:snapToGrid/>
        <w:ind w:firstLine="960" w:firstLineChars="300"/>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甲  方：</w:t>
      </w:r>
      <w:r>
        <w:rPr>
          <w:rFonts w:hint="default" w:ascii="Times New Roman" w:hAnsi="Times New Roman" w:eastAsia="仿宋_GB2312" w:cs="Times New Roman"/>
          <w:sz w:val="32"/>
          <w:szCs w:val="32"/>
          <w:highlight w:val="none"/>
          <w:lang w:val="en-US" w:eastAsia="zh-CN"/>
        </w:rPr>
        <w:t xml:space="preserve"> </w:t>
      </w:r>
    </w:p>
    <w:p w14:paraId="0E136A94">
      <w:pPr>
        <w:keepNext w:val="0"/>
        <w:keepLines w:val="0"/>
        <w:pageBreakBefore w:val="0"/>
        <w:widowControl w:val="0"/>
        <w:tabs>
          <w:tab w:val="left" w:pos="480"/>
        </w:tabs>
        <w:kinsoku/>
        <w:wordWrap/>
        <w:overflowPunct/>
        <w:topLinePunct w:val="0"/>
        <w:autoSpaceDE/>
        <w:autoSpaceDN/>
        <w:bidi w:val="0"/>
        <w:adjustRightInd/>
        <w:snapToGrid/>
        <w:ind w:firstLine="960" w:firstLineChars="300"/>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乙  方：</w:t>
      </w:r>
      <w:r>
        <w:rPr>
          <w:rFonts w:hint="default" w:ascii="Times New Roman" w:hAnsi="Times New Roman" w:eastAsia="仿宋_GB2312" w:cs="Times New Roman"/>
          <w:sz w:val="32"/>
          <w:szCs w:val="32"/>
          <w:highlight w:val="none"/>
          <w:lang w:val="en-US" w:eastAsia="zh-CN"/>
        </w:rPr>
        <w:t xml:space="preserve"> </w:t>
      </w:r>
    </w:p>
    <w:p w14:paraId="5864CDA5">
      <w:pPr>
        <w:pStyle w:val="3"/>
        <w:rPr>
          <w:rFonts w:hint="default" w:ascii="Times New Roman" w:hAnsi="Times New Roman" w:eastAsia="仿宋_GB2312" w:cs="Times New Roman"/>
          <w:highlight w:val="none"/>
          <w:lang w:val="en-US" w:eastAsia="zh-CN"/>
        </w:rPr>
      </w:pPr>
    </w:p>
    <w:p w14:paraId="5DC8198F">
      <w:pPr>
        <w:pStyle w:val="3"/>
        <w:rPr>
          <w:rFonts w:hint="default" w:ascii="Times New Roman" w:hAnsi="Times New Roman" w:eastAsia="仿宋_GB2312" w:cs="Times New Roman"/>
          <w:highlight w:val="none"/>
          <w:lang w:val="en-US" w:eastAsia="zh-CN"/>
        </w:rPr>
      </w:pPr>
    </w:p>
    <w:p w14:paraId="4F8AA7DC">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月</w:t>
      </w:r>
    </w:p>
    <w:p w14:paraId="561BECEF">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中国  西安</w:t>
      </w:r>
    </w:p>
    <w:p w14:paraId="0204CE2E">
      <w:pPr>
        <w:keepNext w:val="0"/>
        <w:keepLines w:val="0"/>
        <w:pageBreakBefore w:val="0"/>
        <w:widowControl w:val="0"/>
        <w:kinsoku/>
        <w:wordWrap/>
        <w:overflowPunct/>
        <w:topLinePunct w:val="0"/>
        <w:bidi w:val="0"/>
        <w:adjustRightInd w:val="0"/>
        <w:snapToGrid w:val="0"/>
        <w:spacing w:line="360" w:lineRule="auto"/>
        <w:ind w:left="0"/>
        <w:jc w:val="center"/>
        <w:textAlignment w:val="auto"/>
        <w:rPr>
          <w:rFonts w:hint="eastAsia" w:ascii="仿宋" w:hAnsi="仿宋" w:eastAsia="仿宋" w:cs="仿宋"/>
          <w:b/>
          <w:sz w:val="30"/>
          <w:szCs w:val="30"/>
          <w:highlight w:val="none"/>
        </w:rPr>
      </w:pPr>
      <w:r>
        <w:rPr>
          <w:rFonts w:hint="default" w:ascii="Times New Roman" w:hAnsi="Times New Roman" w:eastAsia="仿宋_GB2312" w:cs="Times New Roman"/>
          <w:sz w:val="24"/>
          <w:highlight w:val="none"/>
        </w:rPr>
        <w:br w:type="page"/>
      </w:r>
      <w:r>
        <w:rPr>
          <w:rFonts w:hint="eastAsia" w:ascii="仿宋" w:hAnsi="仿宋" w:eastAsia="仿宋" w:cs="仿宋"/>
          <w:b/>
          <w:sz w:val="44"/>
          <w:szCs w:val="44"/>
          <w:highlight w:val="none"/>
        </w:rPr>
        <w:t>服务合同</w:t>
      </w:r>
    </w:p>
    <w:p w14:paraId="44DE9C1A">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sz w:val="24"/>
          <w:szCs w:val="24"/>
          <w:highlight w:val="none"/>
          <w:u w:val="single"/>
          <w:lang w:val="en-US" w:eastAsia="zh-CN"/>
        </w:rPr>
      </w:pPr>
      <w:r>
        <w:rPr>
          <w:rFonts w:hint="eastAsia" w:ascii="仿宋" w:hAnsi="仿宋" w:eastAsia="仿宋" w:cs="仿宋"/>
          <w:b/>
          <w:bCs/>
          <w:sz w:val="24"/>
          <w:szCs w:val="24"/>
          <w:highlight w:val="none"/>
        </w:rPr>
        <w:t>甲方（采购人）：</w:t>
      </w:r>
      <w:r>
        <w:rPr>
          <w:rFonts w:hint="eastAsia" w:ascii="仿宋" w:hAnsi="仿宋" w:eastAsia="仿宋" w:cs="仿宋"/>
          <w:b/>
          <w:bCs/>
          <w:sz w:val="24"/>
          <w:szCs w:val="24"/>
          <w:highlight w:val="none"/>
          <w:u w:val="single"/>
          <w:lang w:val="en-US" w:eastAsia="zh-CN"/>
        </w:rPr>
        <w:t xml:space="preserve">               </w:t>
      </w:r>
    </w:p>
    <w:p w14:paraId="21F9A883">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bCs/>
          <w:sz w:val="24"/>
          <w:szCs w:val="24"/>
          <w:highlight w:val="none"/>
        </w:rPr>
        <w:t>乙方（供应商）：</w:t>
      </w:r>
      <w:r>
        <w:rPr>
          <w:rFonts w:hint="eastAsia" w:ascii="仿宋" w:hAnsi="仿宋" w:eastAsia="仿宋" w:cs="仿宋"/>
          <w:bCs/>
          <w:sz w:val="24"/>
          <w:szCs w:val="24"/>
          <w:highlight w:val="none"/>
          <w:u w:val="single"/>
        </w:rPr>
        <w:t xml:space="preserve">               </w:t>
      </w:r>
    </w:p>
    <w:p w14:paraId="25A0364D">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依据《中华人民共和国民法典》与项目行业有关的法律法规，以及</w:t>
      </w:r>
      <w:r>
        <w:rPr>
          <w:rFonts w:hint="eastAsia" w:ascii="仿宋" w:hAnsi="仿宋" w:eastAsia="仿宋" w:cs="仿宋"/>
          <w:sz w:val="24"/>
          <w:szCs w:val="24"/>
          <w:highlight w:val="none"/>
          <w:u w:val="single"/>
        </w:rPr>
        <w:t>2025年西安市市级部门等保测评集采分用项目</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，以下简称“项目”）</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eastAsia="zh-CN"/>
        </w:rPr>
        <w:t>招标</w:t>
      </w:r>
      <w:r>
        <w:rPr>
          <w:rFonts w:hint="eastAsia" w:ascii="仿宋" w:hAnsi="仿宋" w:eastAsia="仿宋" w:cs="仿宋"/>
          <w:sz w:val="24"/>
          <w:szCs w:val="24"/>
          <w:highlight w:val="none"/>
        </w:rPr>
        <w:t>文件》，乙方的《</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文件》及《</w:t>
      </w:r>
      <w:r>
        <w:rPr>
          <w:rFonts w:hint="eastAsia" w:ascii="仿宋" w:hAnsi="仿宋" w:eastAsia="仿宋" w:cs="仿宋"/>
          <w:sz w:val="24"/>
          <w:szCs w:val="24"/>
          <w:highlight w:val="none"/>
          <w:lang w:eastAsia="zh-CN"/>
        </w:rPr>
        <w:t>中标</w:t>
      </w:r>
      <w:r>
        <w:rPr>
          <w:rFonts w:hint="eastAsia" w:ascii="仿宋" w:hAnsi="仿宋" w:eastAsia="仿宋" w:cs="仿宋"/>
          <w:sz w:val="24"/>
          <w:szCs w:val="24"/>
          <w:highlight w:val="none"/>
        </w:rPr>
        <w:t>通知书》，甲、乙双方同意签订本合同。详细技术说明及其他有关合同项目的特定信息由合同附件予以说明，合同附件及本项目的《</w:t>
      </w:r>
      <w:r>
        <w:rPr>
          <w:rFonts w:hint="eastAsia" w:ascii="仿宋" w:hAnsi="仿宋" w:eastAsia="仿宋" w:cs="仿宋"/>
          <w:sz w:val="24"/>
          <w:szCs w:val="24"/>
          <w:highlight w:val="none"/>
          <w:lang w:eastAsia="zh-CN"/>
        </w:rPr>
        <w:t>招标</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eastAsia="zh-CN"/>
        </w:rPr>
        <w:t>中标</w:t>
      </w:r>
      <w:r>
        <w:rPr>
          <w:rFonts w:hint="eastAsia" w:ascii="仿宋" w:hAnsi="仿宋" w:eastAsia="仿宋" w:cs="仿宋"/>
          <w:sz w:val="24"/>
          <w:szCs w:val="24"/>
          <w:highlight w:val="none"/>
        </w:rPr>
        <w:t xml:space="preserve">通知书》等均为本合同的组成部分。 </w:t>
      </w:r>
    </w:p>
    <w:p w14:paraId="11E77B98">
      <w:pPr>
        <w:keepNext w:val="0"/>
        <w:keepLines w:val="0"/>
        <w:pageBreakBefore w:val="0"/>
        <w:widowControl w:val="0"/>
        <w:kinsoku/>
        <w:wordWrap/>
        <w:overflowPunct/>
        <w:topLinePunct w:val="0"/>
        <w:bidi w:val="0"/>
        <w:adjustRightInd w:val="0"/>
        <w:snapToGrid w:val="0"/>
        <w:spacing w:line="360" w:lineRule="auto"/>
        <w:ind w:left="1320" w:leftChars="228" w:hanging="773" w:hangingChars="321"/>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第一条 项目基本情况</w:t>
      </w:r>
    </w:p>
    <w:p w14:paraId="2C99EB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bookmarkStart w:id="4" w:name="_Toc467005978"/>
      <w:bookmarkStart w:id="5" w:name="_Toc465510857"/>
      <w:bookmarkStart w:id="6" w:name="_Toc476761652"/>
      <w:bookmarkStart w:id="7" w:name="_Toc466270649"/>
      <w:bookmarkStart w:id="8" w:name="_Toc467005728"/>
      <w:bookmarkStart w:id="9" w:name="_Toc465511160"/>
      <w:bookmarkStart w:id="10" w:name="_Toc465511115"/>
      <w:r>
        <w:rPr>
          <w:rFonts w:hint="eastAsia" w:ascii="仿宋" w:hAnsi="仿宋" w:eastAsia="仿宋" w:cs="仿宋"/>
          <w:b w:val="0"/>
          <w:bCs/>
          <w:sz w:val="24"/>
          <w:highlight w:val="none"/>
          <w:lang w:val="en-US" w:eastAsia="zh-CN"/>
        </w:rPr>
        <w:t xml:space="preserve"> 2025年西安市市级部门等保测评集采分用项目，拟对西安市市级部门信息系统完成网络安全等级保护测评服务</w:t>
      </w:r>
      <w:r>
        <w:rPr>
          <w:rFonts w:hint="eastAsia" w:ascii="仿宋" w:hAnsi="仿宋" w:eastAsia="仿宋" w:cs="仿宋"/>
          <w:sz w:val="24"/>
          <w:szCs w:val="24"/>
          <w:highlight w:val="none"/>
          <w:lang w:val="en-US" w:eastAsia="zh-CN"/>
        </w:rPr>
        <w:t xml:space="preserve">。 </w:t>
      </w:r>
    </w:p>
    <w:p w14:paraId="0FBE67A1">
      <w:pPr>
        <w:keepNext w:val="0"/>
        <w:keepLines w:val="0"/>
        <w:pageBreakBefore w:val="0"/>
        <w:widowControl w:val="0"/>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二、服务期限、服务地点、质量要求：</w:t>
      </w:r>
    </w:p>
    <w:p w14:paraId="412E1984">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（1）服务期限：</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4970579C">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（3）服务地点：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4FCE6EB4">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（4）质量要求：</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15858C54">
      <w:pPr>
        <w:keepNext w:val="0"/>
        <w:keepLines w:val="0"/>
        <w:pageBreakBefore w:val="0"/>
        <w:widowControl w:val="0"/>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三、合同文件及解释</w:t>
      </w:r>
      <w:bookmarkEnd w:id="4"/>
      <w:bookmarkEnd w:id="5"/>
      <w:bookmarkEnd w:id="6"/>
      <w:bookmarkEnd w:id="7"/>
      <w:bookmarkEnd w:id="8"/>
      <w:bookmarkEnd w:id="9"/>
      <w:bookmarkEnd w:id="10"/>
    </w:p>
    <w:p w14:paraId="5EBD81C4">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本合同与下列文件一起构成合同文件：</w:t>
      </w:r>
    </w:p>
    <w:p w14:paraId="195057C9">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bookmarkStart w:id="11" w:name="_Toc465511161"/>
      <w:bookmarkStart w:id="12" w:name="_Toc465510858"/>
      <w:bookmarkStart w:id="13" w:name="_Toc465511116"/>
      <w:bookmarkStart w:id="14" w:name="_Toc466270650"/>
      <w:bookmarkStart w:id="15" w:name="_Toc476761653"/>
      <w:bookmarkStart w:id="16" w:name="_Toc468550422"/>
      <w:r>
        <w:rPr>
          <w:rFonts w:hint="eastAsia" w:ascii="仿宋" w:hAnsi="仿宋" w:eastAsia="仿宋" w:cs="仿宋"/>
          <w:kern w:val="28"/>
          <w:sz w:val="24"/>
          <w:szCs w:val="24"/>
          <w:highlight w:val="none"/>
        </w:rPr>
        <w:t>（1）本项目</w:t>
      </w:r>
      <w:r>
        <w:rPr>
          <w:rFonts w:hint="eastAsia" w:ascii="仿宋" w:hAnsi="仿宋" w:eastAsia="仿宋" w:cs="仿宋"/>
          <w:kern w:val="28"/>
          <w:sz w:val="24"/>
          <w:szCs w:val="24"/>
          <w:highlight w:val="none"/>
          <w:lang w:eastAsia="zh-CN"/>
        </w:rPr>
        <w:t>招标</w:t>
      </w:r>
      <w:r>
        <w:rPr>
          <w:rFonts w:hint="eastAsia" w:ascii="仿宋" w:hAnsi="仿宋" w:eastAsia="仿宋" w:cs="仿宋"/>
          <w:kern w:val="28"/>
          <w:sz w:val="24"/>
          <w:szCs w:val="24"/>
          <w:highlight w:val="none"/>
        </w:rPr>
        <w:t>文件；</w:t>
      </w:r>
    </w:p>
    <w:p w14:paraId="026DAC8E">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（2）本项目</w:t>
      </w:r>
      <w:r>
        <w:rPr>
          <w:rFonts w:hint="eastAsia" w:ascii="仿宋" w:hAnsi="仿宋" w:eastAsia="仿宋" w:cs="仿宋"/>
          <w:kern w:val="28"/>
          <w:sz w:val="24"/>
          <w:szCs w:val="24"/>
          <w:highlight w:val="none"/>
          <w:lang w:eastAsia="zh-CN"/>
        </w:rPr>
        <w:t>投标</w:t>
      </w:r>
      <w:r>
        <w:rPr>
          <w:rFonts w:hint="eastAsia" w:ascii="仿宋" w:hAnsi="仿宋" w:eastAsia="仿宋" w:cs="仿宋"/>
          <w:kern w:val="28"/>
          <w:sz w:val="24"/>
          <w:szCs w:val="24"/>
          <w:highlight w:val="none"/>
        </w:rPr>
        <w:t>文件；</w:t>
      </w:r>
    </w:p>
    <w:p w14:paraId="7D1EEA97">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（3）双方另行签订的补充协议及其他合同文件。</w:t>
      </w:r>
    </w:p>
    <w:p w14:paraId="530BCB9F">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7501586C">
      <w:pPr>
        <w:keepNext w:val="0"/>
        <w:keepLines w:val="0"/>
        <w:pageBreakBefore w:val="0"/>
        <w:widowControl w:val="0"/>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四、合同价款、结算与支付</w:t>
      </w:r>
      <w:bookmarkEnd w:id="11"/>
      <w:bookmarkEnd w:id="12"/>
      <w:bookmarkEnd w:id="13"/>
      <w:bookmarkEnd w:id="14"/>
      <w:bookmarkEnd w:id="15"/>
      <w:bookmarkEnd w:id="16"/>
    </w:p>
    <w:p w14:paraId="31449C14">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1.总价款为：</w:t>
      </w:r>
    </w:p>
    <w:p w14:paraId="257E7BF4">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bCs/>
          <w:kern w:val="28"/>
          <w:sz w:val="24"/>
          <w:szCs w:val="24"/>
          <w:highlight w:val="none"/>
        </w:rPr>
        <w:t xml:space="preserve">大写:人民币：  </w:t>
      </w:r>
      <w:r>
        <w:rPr>
          <w:rFonts w:hint="eastAsia" w:ascii="仿宋" w:hAnsi="仿宋" w:eastAsia="仿宋" w:cs="仿宋"/>
          <w:bCs/>
          <w:kern w:val="28"/>
          <w:sz w:val="24"/>
          <w:szCs w:val="24"/>
          <w:highlight w:val="none"/>
          <w:u w:val="single"/>
        </w:rPr>
        <w:t xml:space="preserve">                             </w:t>
      </w:r>
      <w:r>
        <w:rPr>
          <w:rFonts w:hint="eastAsia" w:ascii="仿宋" w:hAnsi="仿宋" w:eastAsia="仿宋" w:cs="仿宋"/>
          <w:bCs/>
          <w:kern w:val="28"/>
          <w:sz w:val="24"/>
          <w:szCs w:val="24"/>
          <w:highlight w:val="none"/>
        </w:rPr>
        <w:t xml:space="preserve">     </w:t>
      </w:r>
    </w:p>
    <w:p w14:paraId="6B3EE133">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bCs/>
          <w:kern w:val="28"/>
          <w:sz w:val="24"/>
          <w:szCs w:val="24"/>
          <w:highlight w:val="none"/>
        </w:rPr>
        <w:t>小写:RMB ￥：</w:t>
      </w:r>
      <w:r>
        <w:rPr>
          <w:rFonts w:hint="eastAsia" w:ascii="仿宋" w:hAnsi="仿宋" w:eastAsia="仿宋" w:cs="仿宋"/>
          <w:bCs/>
          <w:kern w:val="28"/>
          <w:sz w:val="24"/>
          <w:szCs w:val="24"/>
          <w:highlight w:val="none"/>
          <w:u w:val="single"/>
        </w:rPr>
        <w:t xml:space="preserve">                                </w:t>
      </w:r>
      <w:r>
        <w:rPr>
          <w:rFonts w:hint="eastAsia" w:ascii="仿宋" w:hAnsi="仿宋" w:eastAsia="仿宋" w:cs="仿宋"/>
          <w:bCs/>
          <w:kern w:val="28"/>
          <w:sz w:val="24"/>
          <w:szCs w:val="24"/>
          <w:highlight w:val="none"/>
        </w:rPr>
        <w:t xml:space="preserve">      </w:t>
      </w:r>
    </w:p>
    <w:p w14:paraId="5D1F9742">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报价应是完成采购内容所需的全部费用，包括但不限于乙方产品的价格及乙方提供服务所发生的费用，以本项目</w:t>
      </w:r>
      <w:r>
        <w:rPr>
          <w:rFonts w:hint="eastAsia" w:ascii="仿宋" w:hAnsi="仿宋" w:eastAsia="仿宋" w:cs="仿宋"/>
          <w:kern w:val="28"/>
          <w:sz w:val="24"/>
          <w:szCs w:val="24"/>
          <w:highlight w:val="none"/>
          <w:lang w:eastAsia="zh-CN"/>
        </w:rPr>
        <w:t>招标</w:t>
      </w:r>
      <w:r>
        <w:rPr>
          <w:rFonts w:hint="eastAsia" w:ascii="仿宋" w:hAnsi="仿宋" w:eastAsia="仿宋" w:cs="仿宋"/>
          <w:kern w:val="28"/>
          <w:sz w:val="24"/>
          <w:szCs w:val="24"/>
          <w:highlight w:val="none"/>
        </w:rPr>
        <w:t>文件的内容和要求作为依据。</w:t>
      </w:r>
    </w:p>
    <w:p w14:paraId="258003A4">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 xml:space="preserve">2.支付方式: 合同款支付全部通过银行转账。  </w:t>
      </w:r>
    </w:p>
    <w:p w14:paraId="0CD829B2">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名     称：</w:t>
      </w:r>
      <w:r>
        <w:rPr>
          <w:rFonts w:hint="eastAsia" w:ascii="仿宋" w:hAnsi="仿宋" w:eastAsia="仿宋" w:cs="仿宋"/>
          <w:kern w:val="28"/>
          <w:sz w:val="24"/>
          <w:szCs w:val="24"/>
          <w:highlight w:val="none"/>
          <w:u w:val="single"/>
        </w:rPr>
        <w:t xml:space="preserve">                          </w:t>
      </w:r>
    </w:p>
    <w:p w14:paraId="67EC1649">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开  户 行：</w:t>
      </w:r>
      <w:r>
        <w:rPr>
          <w:rFonts w:hint="eastAsia" w:ascii="仿宋" w:hAnsi="仿宋" w:eastAsia="仿宋" w:cs="仿宋"/>
          <w:kern w:val="28"/>
          <w:sz w:val="24"/>
          <w:szCs w:val="24"/>
          <w:highlight w:val="none"/>
          <w:u w:val="single"/>
        </w:rPr>
        <w:t xml:space="preserve">                          </w:t>
      </w:r>
    </w:p>
    <w:p w14:paraId="6235255D">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账     号：</w:t>
      </w:r>
      <w:r>
        <w:rPr>
          <w:rFonts w:hint="eastAsia" w:ascii="仿宋" w:hAnsi="仿宋" w:eastAsia="仿宋" w:cs="仿宋"/>
          <w:kern w:val="28"/>
          <w:sz w:val="24"/>
          <w:szCs w:val="24"/>
          <w:highlight w:val="none"/>
          <w:u w:val="single"/>
        </w:rPr>
        <w:t xml:space="preserve">                          </w:t>
      </w:r>
    </w:p>
    <w:p w14:paraId="4804517D">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3.付款及结算方式:</w:t>
      </w:r>
      <w:r>
        <w:rPr>
          <w:rFonts w:hint="eastAsia" w:ascii="仿宋" w:hAnsi="仿宋" w:eastAsia="仿宋" w:cs="仿宋"/>
          <w:kern w:val="28"/>
          <w:sz w:val="24"/>
          <w:szCs w:val="24"/>
          <w:highlight w:val="none"/>
          <w:u w:val="single"/>
          <w:lang w:val="en-US" w:eastAsia="zh-CN"/>
        </w:rPr>
        <w:t xml:space="preserve">                     </w:t>
      </w:r>
    </w:p>
    <w:p w14:paraId="54EEEDB9">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4.发票要求：</w:t>
      </w:r>
      <w:r>
        <w:rPr>
          <w:rFonts w:hint="eastAsia" w:ascii="仿宋" w:hAnsi="仿宋" w:eastAsia="仿宋" w:cs="仿宋"/>
          <w:kern w:val="28"/>
          <w:sz w:val="24"/>
          <w:szCs w:val="24"/>
          <w:highlight w:val="none"/>
          <w:u w:val="single"/>
          <w:lang w:val="en-US" w:eastAsia="zh-CN"/>
        </w:rPr>
        <w:t xml:space="preserve">                          </w:t>
      </w:r>
    </w:p>
    <w:p w14:paraId="0C1B6D29">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kern w:val="28"/>
          <w:sz w:val="24"/>
          <w:szCs w:val="24"/>
          <w:highlight w:val="none"/>
        </w:rPr>
      </w:pPr>
      <w:bookmarkStart w:id="17" w:name="_Toc465511117"/>
      <w:bookmarkStart w:id="18" w:name="_Toc465510859"/>
      <w:bookmarkStart w:id="19" w:name="_Toc468550423"/>
      <w:bookmarkStart w:id="20" w:name="_Toc466270651"/>
      <w:bookmarkStart w:id="21" w:name="_Toc465511162"/>
      <w:bookmarkStart w:id="22" w:name="_Toc476761654"/>
      <w:bookmarkStart w:id="23" w:name="_Toc476761657"/>
      <w:bookmarkStart w:id="24" w:name="_Toc465510862"/>
      <w:bookmarkStart w:id="25" w:name="_Toc468550426"/>
      <w:bookmarkStart w:id="26" w:name="_Toc466270654"/>
      <w:bookmarkStart w:id="27" w:name="_Toc465511120"/>
      <w:bookmarkStart w:id="28" w:name="_Toc465511165"/>
      <w:r>
        <w:rPr>
          <w:rFonts w:hint="eastAsia" w:ascii="仿宋" w:hAnsi="仿宋" w:eastAsia="仿宋" w:cs="仿宋"/>
          <w:b/>
          <w:bCs/>
          <w:kern w:val="28"/>
          <w:sz w:val="24"/>
          <w:szCs w:val="24"/>
          <w:highlight w:val="none"/>
        </w:rPr>
        <w:t>五、权利与义务</w:t>
      </w:r>
      <w:bookmarkEnd w:id="17"/>
      <w:bookmarkEnd w:id="18"/>
      <w:bookmarkEnd w:id="19"/>
      <w:bookmarkEnd w:id="20"/>
      <w:bookmarkEnd w:id="21"/>
      <w:bookmarkEnd w:id="22"/>
      <w:bookmarkStart w:id="29" w:name="_Toc465511118"/>
      <w:bookmarkStart w:id="30" w:name="_Toc476761655"/>
      <w:bookmarkStart w:id="31" w:name="_Toc466270652"/>
      <w:bookmarkStart w:id="32" w:name="_Toc465510860"/>
      <w:bookmarkStart w:id="33" w:name="_Toc468550424"/>
      <w:bookmarkStart w:id="34" w:name="_Toc465511163"/>
    </w:p>
    <w:p w14:paraId="03580BEB">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（一）甲方的权利与义务</w:t>
      </w:r>
      <w:bookmarkEnd w:id="29"/>
      <w:bookmarkEnd w:id="30"/>
      <w:bookmarkEnd w:id="31"/>
      <w:bookmarkEnd w:id="32"/>
      <w:bookmarkEnd w:id="33"/>
      <w:bookmarkEnd w:id="34"/>
    </w:p>
    <w:p w14:paraId="4E28F4FE">
      <w:pPr>
        <w:spacing w:line="576" w:lineRule="exact"/>
        <w:ind w:firstLine="480" w:firstLineChars="200"/>
        <w:rPr>
          <w:rFonts w:hint="default" w:ascii="Times New Roman" w:hAnsi="Times New Roman" w:eastAsia="仿宋_GB2312" w:cs="Times New Roman"/>
          <w:kern w:val="2"/>
          <w:sz w:val="24"/>
          <w:szCs w:val="24"/>
          <w:highlight w:val="none"/>
        </w:rPr>
      </w:pPr>
      <w:bookmarkStart w:id="35" w:name="_Toc465511119"/>
      <w:bookmarkStart w:id="36" w:name="_Toc476761656"/>
      <w:bookmarkStart w:id="37" w:name="_Toc465511164"/>
      <w:bookmarkStart w:id="38" w:name="_Toc465510861"/>
      <w:bookmarkStart w:id="39" w:name="_Toc468550425"/>
      <w:bookmarkStart w:id="40" w:name="_Toc466270653"/>
      <w:r>
        <w:rPr>
          <w:rFonts w:hint="default" w:ascii="Times New Roman" w:hAnsi="Times New Roman" w:eastAsia="仿宋_GB2312" w:cs="Times New Roman"/>
          <w:kern w:val="2"/>
          <w:sz w:val="24"/>
          <w:szCs w:val="24"/>
          <w:highlight w:val="none"/>
        </w:rPr>
        <w:t>1.甲方应及时履行本合同中约定的付款义务。</w:t>
      </w:r>
    </w:p>
    <w:p w14:paraId="35C3B9FC">
      <w:pPr>
        <w:spacing w:line="576" w:lineRule="exact"/>
        <w:ind w:firstLine="480" w:firstLineChars="200"/>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2.甲方承认，乙方提供服务的能力有赖于与甲方之间全面、及时的合作，以及甲方向乙方提供的信息和数据的准确性、全面性。为此，甲方应：</w:t>
      </w:r>
    </w:p>
    <w:p w14:paraId="0E2C32EF">
      <w:pPr>
        <w:spacing w:line="576" w:lineRule="exact"/>
        <w:ind w:firstLine="480" w:firstLineChars="200"/>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（1）按照乙方的合理要求提供相关信息、数据、资料、工作空间和办公室服务等，对所提供数据和相关信息、资料的有效性、准确性和完整性由双方共同确认负责。</w:t>
      </w:r>
    </w:p>
    <w:p w14:paraId="43C0D2D2">
      <w:pPr>
        <w:spacing w:line="576" w:lineRule="exact"/>
        <w:ind w:firstLine="480" w:firstLineChars="200"/>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（2）甲方应指派一名职员与乙方进行专业、及时的联络，拥有必需的专业技术和甲方授权，并按双方商定的时间，定期与乙方代表举行会议。</w:t>
      </w:r>
    </w:p>
    <w:p w14:paraId="5EB2D702">
      <w:pPr>
        <w:spacing w:line="576" w:lineRule="exact"/>
        <w:ind w:firstLine="480" w:firstLineChars="200"/>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3.甲方有权要求乙方提供的服务所涉及的第三方权利进行免责。</w:t>
      </w:r>
    </w:p>
    <w:p w14:paraId="2ED8820D">
      <w:pPr>
        <w:spacing w:line="576" w:lineRule="exact"/>
        <w:ind w:firstLine="480" w:firstLineChars="200"/>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4.未经甲方同意，乙方不得擅自更换服务人员。甲方认为乙方人员不能胜任工作，可通知乙方更换，乙方应无条件更换。</w:t>
      </w:r>
    </w:p>
    <w:p w14:paraId="79E8A330">
      <w:pPr>
        <w:spacing w:line="576" w:lineRule="exact"/>
        <w:ind w:firstLine="480" w:firstLineChars="200"/>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5.甲方要求乙方提供所需要的技术服务，需符合国家相关部门有关技术质量的规定标准。</w:t>
      </w:r>
    </w:p>
    <w:p w14:paraId="6421F3A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6.甲方有权向乙方提出合理化建议。</w:t>
      </w:r>
    </w:p>
    <w:p w14:paraId="7194992E">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（二）乙方的权利与义务</w:t>
      </w:r>
      <w:bookmarkEnd w:id="35"/>
      <w:bookmarkEnd w:id="36"/>
      <w:bookmarkEnd w:id="37"/>
      <w:bookmarkEnd w:id="38"/>
      <w:bookmarkEnd w:id="39"/>
      <w:bookmarkEnd w:id="40"/>
    </w:p>
    <w:p w14:paraId="6415B7D5">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1</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乙方应根据本合同的约定，向甲方提供本合同约定的及乙方投标文件中承诺的服务内容，服务标准详见招标文件的招标内容及要求。乙方应在服务期开始时立即履行服务义务。</w:t>
      </w:r>
    </w:p>
    <w:p w14:paraId="40714AA5">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2</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项目终验后乙方须按照考核结果及违约责任中相关约定向甲方支付违约金。</w:t>
      </w:r>
    </w:p>
    <w:p w14:paraId="60CC65A8">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3</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乙方保证在测评工作中严格遵守相关单位的管理要求和工作纪律。</w:t>
      </w:r>
    </w:p>
    <w:p w14:paraId="0C5455ED">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4</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乙方实施人员应为乙方正式员工，并提供社保等相关证明，且服务人员需与乙方投标文件中人员保持一致。</w:t>
      </w:r>
    </w:p>
    <w:p w14:paraId="0C6643E6">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5</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乙方应按甲方要求如期向甲方交付相关文档。</w:t>
      </w:r>
    </w:p>
    <w:p w14:paraId="1692AD8C">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6</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乙方向甲方提供的一切服务、资料、资源以及履行合同提供的全部资源应通过合同途径获得，任何第三方不得向甲方主张权利。</w:t>
      </w:r>
    </w:p>
    <w:p w14:paraId="5A080D79">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7.乙方对测评报告等的合规性、合法性负责，不得侵害任何第三方的合法权益。</w:t>
      </w:r>
    </w:p>
    <w:p w14:paraId="581168E5">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8</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因甲方每年财政划拨时间不确定，乙方不得在甲方财政划拨资金到位前进行催缴、中断服务等影响甲方正常业务工作的相关行为。</w:t>
      </w:r>
    </w:p>
    <w:p w14:paraId="6D5800BE">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9</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乙方应独立完成合同义务，未经甲方同意，乙方不得向第三方转包、分包本合同内容。</w:t>
      </w:r>
    </w:p>
    <w:p w14:paraId="409B8237">
      <w:pPr>
        <w:spacing w:line="576" w:lineRule="exact"/>
        <w:ind w:firstLine="646"/>
        <w:rPr>
          <w:rFonts w:hint="default" w:ascii="Times New Roman" w:hAnsi="Times New Roman" w:eastAsia="仿宋_GB2312" w:cs="Times New Roman"/>
          <w:kern w:val="2"/>
          <w:sz w:val="24"/>
          <w:szCs w:val="24"/>
          <w:highlight w:val="none"/>
        </w:rPr>
      </w:pPr>
      <w:r>
        <w:rPr>
          <w:rFonts w:hint="default" w:ascii="Times New Roman" w:hAnsi="Times New Roman" w:eastAsia="仿宋_GB2312" w:cs="Times New Roman"/>
          <w:kern w:val="2"/>
          <w:sz w:val="24"/>
          <w:szCs w:val="24"/>
          <w:highlight w:val="none"/>
        </w:rPr>
        <w:t>10</w:t>
      </w:r>
      <w:r>
        <w:rPr>
          <w:rFonts w:hint="eastAsia" w:ascii="Times New Roman" w:hAnsi="Times New Roman" w:eastAsia="仿宋_GB2312" w:cs="Times New Roman"/>
          <w:kern w:val="2"/>
          <w:sz w:val="24"/>
          <w:szCs w:val="24"/>
          <w:highlight w:val="none"/>
          <w:lang w:val="en-US" w:eastAsia="zh-CN"/>
        </w:rPr>
        <w:t>.</w:t>
      </w:r>
      <w:r>
        <w:rPr>
          <w:rFonts w:hint="default" w:ascii="Times New Roman" w:hAnsi="Times New Roman" w:eastAsia="仿宋_GB2312" w:cs="Times New Roman"/>
          <w:kern w:val="2"/>
          <w:sz w:val="24"/>
          <w:szCs w:val="24"/>
          <w:highlight w:val="none"/>
        </w:rPr>
        <w:t>乙方需按甲方要求签署保密协议，并严格执行。</w:t>
      </w:r>
    </w:p>
    <w:bookmarkEnd w:id="23"/>
    <w:bookmarkEnd w:id="24"/>
    <w:bookmarkEnd w:id="25"/>
    <w:bookmarkEnd w:id="26"/>
    <w:bookmarkEnd w:id="27"/>
    <w:bookmarkEnd w:id="28"/>
    <w:p w14:paraId="603DDF54">
      <w:pPr>
        <w:keepNext w:val="0"/>
        <w:keepLines w:val="0"/>
        <w:pageBreakBefore w:val="0"/>
        <w:widowControl w:val="0"/>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sz w:val="24"/>
          <w:szCs w:val="24"/>
          <w:highlight w:val="none"/>
        </w:rPr>
      </w:pPr>
      <w:bookmarkStart w:id="41" w:name="_Toc465511169"/>
      <w:bookmarkStart w:id="42" w:name="_Toc476761661"/>
      <w:bookmarkStart w:id="43" w:name="_Toc466270658"/>
      <w:bookmarkStart w:id="44" w:name="_Toc465510866"/>
      <w:bookmarkStart w:id="45" w:name="_Toc468550430"/>
      <w:bookmarkStart w:id="46" w:name="_Toc465511124"/>
      <w:r>
        <w:rPr>
          <w:rFonts w:hint="eastAsia" w:ascii="仿宋" w:hAnsi="仿宋" w:eastAsia="仿宋" w:cs="仿宋"/>
          <w:b/>
          <w:bCs/>
          <w:sz w:val="24"/>
          <w:szCs w:val="24"/>
          <w:highlight w:val="none"/>
          <w:lang w:eastAsia="zh-CN"/>
        </w:rPr>
        <w:t>七</w:t>
      </w:r>
      <w:r>
        <w:rPr>
          <w:rFonts w:hint="eastAsia" w:ascii="仿宋" w:hAnsi="仿宋" w:eastAsia="仿宋" w:cs="仿宋"/>
          <w:b/>
          <w:bCs/>
          <w:sz w:val="24"/>
          <w:szCs w:val="24"/>
          <w:highlight w:val="none"/>
        </w:rPr>
        <w:t>、保密条款</w:t>
      </w:r>
      <w:bookmarkEnd w:id="41"/>
      <w:bookmarkEnd w:id="42"/>
      <w:bookmarkEnd w:id="43"/>
      <w:bookmarkEnd w:id="44"/>
      <w:bookmarkEnd w:id="45"/>
      <w:bookmarkEnd w:id="46"/>
    </w:p>
    <w:p w14:paraId="6CD052AC">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sz w:val="24"/>
          <w:szCs w:val="24"/>
          <w:highlight w:val="none"/>
        </w:rPr>
        <w:t>双方承诺，除非法律另有规定或双</w:t>
      </w:r>
      <w:r>
        <w:rPr>
          <w:rFonts w:hint="eastAsia" w:ascii="仿宋" w:hAnsi="仿宋" w:eastAsia="仿宋" w:cs="仿宋"/>
          <w:kern w:val="28"/>
          <w:sz w:val="24"/>
          <w:szCs w:val="24"/>
          <w:highlight w:val="none"/>
        </w:rPr>
        <w:t>方一致同意，任何一方不得将本合同的内容向第三方透露，否则，应向对方承担相应的违约责任。</w:t>
      </w:r>
    </w:p>
    <w:p w14:paraId="1C5C5E28">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1.双方同意在本合同期限内或之后：</w:t>
      </w:r>
    </w:p>
    <w:p w14:paraId="0D14C41C">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（1）只为本合同目的而使用属于对方的保密资料；</w:t>
      </w:r>
    </w:p>
    <w:p w14:paraId="1770CE92">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（2）在未得到对方书面同意之前，不将对方的保密资料披露给第三方；</w:t>
      </w:r>
    </w:p>
    <w:p w14:paraId="61F383D5">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（3）如果披露方要求，接受方应立即将任何被要求退还的保密资料退还给披露方。</w:t>
      </w:r>
    </w:p>
    <w:p w14:paraId="3B1E906A">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2.本合同中，保密资料是指任何一方所有的与披露方现有的潜在的业务、运营或财务状况直接或间接有关的书面、演示、电子、或其他形式的资料（包括：价格、市场营销计划、客户名单、相关数据等），但不包括以下资料：</w:t>
      </w:r>
    </w:p>
    <w:p w14:paraId="596F091E">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（1）为公众所知的；</w:t>
      </w:r>
    </w:p>
    <w:p w14:paraId="6CD10A1F">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（2）接受方通过没有保密义务的独立渠道合法获得的资料；</w:t>
      </w:r>
    </w:p>
    <w:p w14:paraId="423D021F">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（3）接受方在本合同保密条款签订之前已经知道的资料；</w:t>
      </w:r>
    </w:p>
    <w:p w14:paraId="33AE99B8">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（4）因法律行为（包括诉讼、仲裁等行为）和执行国家政策的需要进行披露的资料。</w:t>
      </w:r>
    </w:p>
    <w:p w14:paraId="6FA7E47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82" w:firstLineChars="200"/>
        <w:textAlignment w:val="auto"/>
        <w:rPr>
          <w:rFonts w:hint="eastAsia" w:ascii="仿宋" w:hAnsi="仿宋" w:eastAsia="仿宋" w:cs="仿宋"/>
          <w:b/>
          <w:bCs/>
          <w:sz w:val="24"/>
          <w:szCs w:val="24"/>
          <w:highlight w:val="none"/>
        </w:rPr>
      </w:pPr>
      <w:bookmarkStart w:id="47" w:name="_Toc465511125"/>
      <w:bookmarkStart w:id="48" w:name="_Toc476761662"/>
      <w:bookmarkStart w:id="49" w:name="_Toc466270659"/>
      <w:bookmarkStart w:id="50" w:name="_Toc465510867"/>
      <w:bookmarkStart w:id="51" w:name="_Toc465511170"/>
      <w:bookmarkStart w:id="52" w:name="_Toc468550431"/>
      <w:r>
        <w:rPr>
          <w:rFonts w:hint="eastAsia" w:ascii="仿宋" w:hAnsi="仿宋" w:eastAsia="仿宋" w:cs="仿宋"/>
          <w:b/>
          <w:bCs/>
          <w:sz w:val="24"/>
          <w:szCs w:val="24"/>
          <w:highlight w:val="none"/>
          <w:lang w:eastAsia="zh-CN"/>
        </w:rPr>
        <w:t>八</w:t>
      </w:r>
      <w:r>
        <w:rPr>
          <w:rFonts w:hint="eastAsia" w:ascii="仿宋" w:hAnsi="仿宋" w:eastAsia="仿宋" w:cs="仿宋"/>
          <w:b/>
          <w:bCs/>
          <w:sz w:val="24"/>
          <w:szCs w:val="24"/>
          <w:highlight w:val="none"/>
        </w:rPr>
        <w:t>、违约责任</w:t>
      </w:r>
      <w:bookmarkEnd w:id="47"/>
      <w:bookmarkEnd w:id="48"/>
      <w:bookmarkEnd w:id="49"/>
      <w:bookmarkEnd w:id="50"/>
      <w:bookmarkEnd w:id="51"/>
      <w:bookmarkEnd w:id="52"/>
    </w:p>
    <w:p w14:paraId="744A69DB">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bookmarkStart w:id="53" w:name="_Toc465510868"/>
      <w:bookmarkStart w:id="54" w:name="_Toc466270660"/>
      <w:bookmarkStart w:id="55" w:name="_Toc476761663"/>
      <w:bookmarkStart w:id="56" w:name="_Toc465511171"/>
      <w:bookmarkStart w:id="57" w:name="_Toc468550432"/>
      <w:bookmarkStart w:id="58" w:name="_Toc465511126"/>
      <w:r>
        <w:rPr>
          <w:rFonts w:hint="eastAsia" w:ascii="仿宋" w:hAnsi="仿宋" w:eastAsia="仿宋" w:cs="仿宋"/>
          <w:kern w:val="28"/>
          <w:sz w:val="24"/>
          <w:szCs w:val="24"/>
          <w:highlight w:val="none"/>
        </w:rPr>
        <w:t>1.甲乙双方必须遵守本合同并执行合同中的各项规定，保证本合同的正常履行。</w:t>
      </w:r>
    </w:p>
    <w:p w14:paraId="315E78B4">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1C64E3C3">
      <w:pPr>
        <w:keepNext w:val="0"/>
        <w:keepLines w:val="0"/>
        <w:pageBreakBefore w:val="0"/>
        <w:widowControl w:val="0"/>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九</w:t>
      </w:r>
      <w:r>
        <w:rPr>
          <w:rFonts w:hint="eastAsia" w:ascii="仿宋" w:hAnsi="仿宋" w:eastAsia="仿宋" w:cs="仿宋"/>
          <w:b/>
          <w:bCs/>
          <w:sz w:val="24"/>
          <w:szCs w:val="24"/>
          <w:highlight w:val="none"/>
        </w:rPr>
        <w:t>、争议解决</w:t>
      </w:r>
      <w:bookmarkEnd w:id="53"/>
      <w:bookmarkEnd w:id="54"/>
      <w:bookmarkEnd w:id="55"/>
      <w:bookmarkEnd w:id="56"/>
      <w:bookmarkEnd w:id="57"/>
      <w:bookmarkEnd w:id="58"/>
    </w:p>
    <w:p w14:paraId="05A45038">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合同各方应本着诚信的态度及共同合作的精神，通过协商及谈判来努力解决由本合同而产生的或</w:t>
      </w:r>
      <w:r>
        <w:rPr>
          <w:rFonts w:hint="eastAsia" w:ascii="仿宋" w:hAnsi="仿宋" w:eastAsia="仿宋" w:cs="仿宋"/>
          <w:kern w:val="28"/>
          <w:sz w:val="24"/>
          <w:szCs w:val="24"/>
          <w:highlight w:val="none"/>
        </w:rPr>
        <w:t>与本合同有关（包括本合同项下某一特定货物买卖合同）的任何争议及不同意见。协商、谈判不能解决的，如任何一方通过诉讼解决，由</w:t>
      </w:r>
      <w:r>
        <w:rPr>
          <w:rFonts w:hint="eastAsia" w:ascii="仿宋" w:hAnsi="仿宋" w:eastAsia="仿宋" w:cs="仿宋"/>
          <w:sz w:val="24"/>
          <w:szCs w:val="24"/>
          <w:highlight w:val="none"/>
        </w:rPr>
        <w:t>原告所在地人民法院管辖。</w:t>
      </w:r>
    </w:p>
    <w:p w14:paraId="4872D84A">
      <w:pPr>
        <w:keepNext w:val="0"/>
        <w:keepLines w:val="0"/>
        <w:pageBreakBefore w:val="0"/>
        <w:widowControl w:val="0"/>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sz w:val="24"/>
          <w:szCs w:val="24"/>
          <w:highlight w:val="none"/>
        </w:rPr>
      </w:pPr>
      <w:bookmarkStart w:id="59" w:name="_Toc465510869"/>
      <w:bookmarkStart w:id="60" w:name="_Toc465511172"/>
      <w:bookmarkStart w:id="61" w:name="_Toc468550433"/>
      <w:bookmarkStart w:id="62" w:name="_Toc466270661"/>
      <w:bookmarkStart w:id="63" w:name="_Toc476761664"/>
      <w:bookmarkStart w:id="64" w:name="_Toc465511127"/>
      <w:r>
        <w:rPr>
          <w:rFonts w:hint="eastAsia" w:ascii="仿宋" w:hAnsi="仿宋" w:eastAsia="仿宋" w:cs="仿宋"/>
          <w:b/>
          <w:bCs/>
          <w:sz w:val="24"/>
          <w:szCs w:val="24"/>
          <w:highlight w:val="none"/>
        </w:rPr>
        <w:t>十、合同履行</w:t>
      </w:r>
      <w:bookmarkEnd w:id="59"/>
      <w:bookmarkEnd w:id="60"/>
      <w:bookmarkEnd w:id="61"/>
      <w:bookmarkEnd w:id="62"/>
      <w:bookmarkEnd w:id="63"/>
      <w:bookmarkEnd w:id="64"/>
    </w:p>
    <w:p w14:paraId="1F7A0380">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pacing w:val="10"/>
          <w:sz w:val="24"/>
          <w:szCs w:val="24"/>
          <w:highlight w:val="none"/>
        </w:rPr>
        <w:t>合同经</w:t>
      </w:r>
      <w:r>
        <w:rPr>
          <w:rFonts w:hint="eastAsia" w:ascii="仿宋" w:hAnsi="仿宋" w:eastAsia="仿宋" w:cs="仿宋"/>
          <w:sz w:val="24"/>
          <w:szCs w:val="24"/>
          <w:highlight w:val="none"/>
        </w:rPr>
        <w:t>甲乙</w:t>
      </w:r>
      <w:r>
        <w:rPr>
          <w:rFonts w:hint="eastAsia" w:ascii="仿宋" w:hAnsi="仿宋" w:eastAsia="仿宋" w:cs="仿宋"/>
          <w:spacing w:val="10"/>
          <w:sz w:val="24"/>
          <w:szCs w:val="24"/>
          <w:highlight w:val="none"/>
        </w:rPr>
        <w:t>双方法定代表人或者代表人签字并加盖公章(或合同章)即行生效。</w:t>
      </w:r>
    </w:p>
    <w:p w14:paraId="19531F6E">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2.合同签订后双方即直接产生权利与义务的关系，合同执行过程中出现的问题应按照《民法典》等有关规定办理。</w:t>
      </w:r>
    </w:p>
    <w:p w14:paraId="1517411D">
      <w:pPr>
        <w:keepNext w:val="0"/>
        <w:keepLines w:val="0"/>
        <w:pageBreakBefore w:val="0"/>
        <w:widowControl w:val="0"/>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3.合同在执行过程中出现的未尽事宜，双方在不违背本合同和</w:t>
      </w:r>
      <w:r>
        <w:rPr>
          <w:rFonts w:hint="eastAsia" w:ascii="仿宋" w:hAnsi="仿宋" w:eastAsia="仿宋" w:cs="仿宋"/>
          <w:sz w:val="24"/>
          <w:szCs w:val="24"/>
          <w:highlight w:val="none"/>
          <w:lang w:eastAsia="zh-CN"/>
        </w:rPr>
        <w:t>竞争性磋商</w:t>
      </w:r>
      <w:r>
        <w:rPr>
          <w:rFonts w:hint="eastAsia" w:ascii="仿宋" w:hAnsi="仿宋" w:eastAsia="仿宋" w:cs="仿宋"/>
          <w:sz w:val="24"/>
          <w:szCs w:val="24"/>
          <w:highlight w:val="none"/>
        </w:rPr>
        <w:t>文件的原则下协商解决，协商结果以“纪要”形式盖章记录在案，作为本合同的附件。</w:t>
      </w:r>
    </w:p>
    <w:p w14:paraId="754FF2E5">
      <w:pPr>
        <w:keepNext w:val="0"/>
        <w:keepLines w:val="0"/>
        <w:pageBreakBefore w:val="0"/>
        <w:widowControl w:val="0"/>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sz w:val="24"/>
          <w:szCs w:val="24"/>
          <w:highlight w:val="none"/>
        </w:rPr>
      </w:pPr>
      <w:bookmarkStart w:id="65" w:name="_Toc468550434"/>
      <w:bookmarkStart w:id="66" w:name="_Toc476761665"/>
      <w:bookmarkStart w:id="67" w:name="_Toc465511173"/>
      <w:bookmarkStart w:id="68" w:name="_Toc465511128"/>
      <w:bookmarkStart w:id="69" w:name="_Toc466270662"/>
      <w:bookmarkStart w:id="70" w:name="_Toc465510870"/>
      <w:r>
        <w:rPr>
          <w:rFonts w:hint="eastAsia" w:ascii="仿宋" w:hAnsi="仿宋" w:eastAsia="仿宋" w:cs="仿宋"/>
          <w:b/>
          <w:bCs/>
          <w:sz w:val="24"/>
          <w:szCs w:val="24"/>
          <w:highlight w:val="none"/>
        </w:rPr>
        <w:t>十</w:t>
      </w:r>
      <w:r>
        <w:rPr>
          <w:rFonts w:hint="eastAsia" w:ascii="仿宋" w:hAnsi="仿宋" w:eastAsia="仿宋" w:cs="仿宋"/>
          <w:b/>
          <w:bCs/>
          <w:sz w:val="24"/>
          <w:szCs w:val="24"/>
          <w:highlight w:val="none"/>
          <w:lang w:eastAsia="zh-CN"/>
        </w:rPr>
        <w:t>一</w:t>
      </w:r>
      <w:r>
        <w:rPr>
          <w:rFonts w:hint="eastAsia" w:ascii="仿宋" w:hAnsi="仿宋" w:eastAsia="仿宋" w:cs="仿宋"/>
          <w:b/>
          <w:bCs/>
          <w:sz w:val="24"/>
          <w:szCs w:val="24"/>
          <w:highlight w:val="none"/>
        </w:rPr>
        <w:t>、不可抗力</w:t>
      </w:r>
      <w:bookmarkEnd w:id="65"/>
      <w:bookmarkEnd w:id="66"/>
      <w:bookmarkEnd w:id="67"/>
      <w:bookmarkEnd w:id="68"/>
      <w:bookmarkEnd w:id="69"/>
      <w:bookmarkEnd w:id="70"/>
    </w:p>
    <w:p w14:paraId="3A8C998F">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4AC1FCAE">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06095FDD">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3.如不可抗力时间延续120天以上的，各方通过协商达成在合理的时间内继续履行合同，或部分履行合同，或终止合同的履行。</w:t>
      </w:r>
    </w:p>
    <w:p w14:paraId="3FE89731">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4.一方迟延履行后发生不可抗力的，不能免除责任。</w:t>
      </w:r>
    </w:p>
    <w:p w14:paraId="51374B5B">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kern w:val="28"/>
          <w:sz w:val="24"/>
          <w:szCs w:val="24"/>
          <w:highlight w:val="none"/>
        </w:rPr>
      </w:pPr>
      <w:bookmarkStart w:id="71" w:name="_Toc476761666"/>
      <w:bookmarkStart w:id="72" w:name="_Toc468550435"/>
      <w:bookmarkStart w:id="73" w:name="_Toc465511174"/>
      <w:bookmarkStart w:id="74" w:name="_Toc465510871"/>
      <w:bookmarkStart w:id="75" w:name="_Toc465511129"/>
      <w:bookmarkStart w:id="76" w:name="_Toc466270663"/>
      <w:r>
        <w:rPr>
          <w:rFonts w:hint="eastAsia" w:ascii="仿宋" w:hAnsi="仿宋" w:eastAsia="仿宋" w:cs="仿宋"/>
          <w:b/>
          <w:bCs/>
          <w:kern w:val="28"/>
          <w:sz w:val="24"/>
          <w:szCs w:val="24"/>
          <w:highlight w:val="none"/>
        </w:rPr>
        <w:t>十</w:t>
      </w:r>
      <w:r>
        <w:rPr>
          <w:rFonts w:hint="eastAsia" w:ascii="仿宋" w:hAnsi="仿宋" w:eastAsia="仿宋" w:cs="仿宋"/>
          <w:b/>
          <w:bCs/>
          <w:kern w:val="28"/>
          <w:sz w:val="24"/>
          <w:szCs w:val="24"/>
          <w:highlight w:val="none"/>
          <w:lang w:eastAsia="zh-CN"/>
        </w:rPr>
        <w:t>二</w:t>
      </w:r>
      <w:r>
        <w:rPr>
          <w:rFonts w:hint="eastAsia" w:ascii="仿宋" w:hAnsi="仿宋" w:eastAsia="仿宋" w:cs="仿宋"/>
          <w:b/>
          <w:bCs/>
          <w:kern w:val="28"/>
          <w:sz w:val="24"/>
          <w:szCs w:val="24"/>
          <w:highlight w:val="none"/>
        </w:rPr>
        <w:t>、通知和合同修改</w:t>
      </w:r>
      <w:bookmarkEnd w:id="71"/>
      <w:bookmarkEnd w:id="72"/>
      <w:bookmarkEnd w:id="73"/>
      <w:bookmarkEnd w:id="74"/>
      <w:bookmarkEnd w:id="75"/>
      <w:bookmarkEnd w:id="76"/>
    </w:p>
    <w:p w14:paraId="5063A683">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本合同一方给另一方的通知，都应以书面的形式（信函、传真）发送至对方，对本合同条款进行任何改动，均须由甲乙双方签署书面合同修改签证，方为有效。</w:t>
      </w:r>
    </w:p>
    <w:p w14:paraId="2666F32F">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2" w:firstLineChars="200"/>
        <w:textAlignment w:val="auto"/>
        <w:rPr>
          <w:rFonts w:hint="eastAsia" w:ascii="仿宋" w:hAnsi="仿宋" w:eastAsia="仿宋" w:cs="仿宋"/>
          <w:b/>
          <w:bCs/>
          <w:kern w:val="28"/>
          <w:sz w:val="24"/>
          <w:szCs w:val="24"/>
          <w:highlight w:val="none"/>
        </w:rPr>
      </w:pPr>
      <w:bookmarkStart w:id="77" w:name="_Toc466270664"/>
      <w:bookmarkStart w:id="78" w:name="_Toc476761667"/>
      <w:bookmarkStart w:id="79" w:name="_Toc465510872"/>
      <w:bookmarkStart w:id="80" w:name="_Toc468550436"/>
      <w:bookmarkStart w:id="81" w:name="_Toc465511175"/>
      <w:bookmarkStart w:id="82" w:name="_Toc465511130"/>
      <w:r>
        <w:rPr>
          <w:rFonts w:hint="eastAsia" w:ascii="仿宋" w:hAnsi="仿宋" w:eastAsia="仿宋" w:cs="仿宋"/>
          <w:b/>
          <w:bCs/>
          <w:kern w:val="28"/>
          <w:sz w:val="24"/>
          <w:szCs w:val="24"/>
          <w:highlight w:val="none"/>
        </w:rPr>
        <w:t>十</w:t>
      </w:r>
      <w:r>
        <w:rPr>
          <w:rFonts w:hint="eastAsia" w:ascii="仿宋" w:hAnsi="仿宋" w:eastAsia="仿宋" w:cs="仿宋"/>
          <w:b/>
          <w:bCs/>
          <w:kern w:val="28"/>
          <w:sz w:val="24"/>
          <w:szCs w:val="24"/>
          <w:highlight w:val="none"/>
          <w:lang w:eastAsia="zh-CN"/>
        </w:rPr>
        <w:t>三</w:t>
      </w:r>
      <w:r>
        <w:rPr>
          <w:rFonts w:hint="eastAsia" w:ascii="仿宋" w:hAnsi="仿宋" w:eastAsia="仿宋" w:cs="仿宋"/>
          <w:b/>
          <w:bCs/>
          <w:kern w:val="28"/>
          <w:sz w:val="24"/>
          <w:szCs w:val="24"/>
          <w:highlight w:val="none"/>
        </w:rPr>
        <w:t>、其他规定</w:t>
      </w:r>
      <w:bookmarkEnd w:id="77"/>
      <w:bookmarkEnd w:id="78"/>
      <w:bookmarkEnd w:id="79"/>
      <w:bookmarkEnd w:id="80"/>
      <w:bookmarkEnd w:id="81"/>
      <w:bookmarkEnd w:id="82"/>
    </w:p>
    <w:p w14:paraId="3EBB8312">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1.本合同的附件为本合同不可分割的部分，与本合同正文具有同等的法律效力。本合同附件与本合同约定不一致的，以本合同的约定为准，除非双方一致同意并以书面形式表示以协议附件为准。</w:t>
      </w:r>
    </w:p>
    <w:p w14:paraId="0757D0B5">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2.本合同正本</w:t>
      </w:r>
      <w:r>
        <w:rPr>
          <w:rFonts w:hint="eastAsia" w:ascii="仿宋" w:hAnsi="仿宋" w:eastAsia="仿宋" w:cs="仿宋"/>
          <w:kern w:val="28"/>
          <w:sz w:val="24"/>
          <w:szCs w:val="24"/>
          <w:highlight w:val="none"/>
          <w:u w:val="single"/>
        </w:rPr>
        <w:t xml:space="preserve">     </w:t>
      </w:r>
      <w:r>
        <w:rPr>
          <w:rFonts w:hint="eastAsia" w:ascii="仿宋" w:hAnsi="仿宋" w:eastAsia="仿宋" w:cs="仿宋"/>
          <w:kern w:val="28"/>
          <w:sz w:val="24"/>
          <w:szCs w:val="24"/>
          <w:highlight w:val="none"/>
        </w:rPr>
        <w:t>份，副本</w:t>
      </w:r>
      <w:r>
        <w:rPr>
          <w:rFonts w:hint="eastAsia" w:ascii="仿宋" w:hAnsi="仿宋" w:eastAsia="仿宋" w:cs="仿宋"/>
          <w:kern w:val="28"/>
          <w:sz w:val="24"/>
          <w:szCs w:val="24"/>
          <w:highlight w:val="none"/>
          <w:u w:val="single"/>
        </w:rPr>
        <w:t xml:space="preserve">    </w:t>
      </w:r>
      <w:r>
        <w:rPr>
          <w:rFonts w:hint="eastAsia" w:ascii="仿宋" w:hAnsi="仿宋" w:eastAsia="仿宋" w:cs="仿宋"/>
          <w:kern w:val="28"/>
          <w:sz w:val="24"/>
          <w:szCs w:val="24"/>
          <w:highlight w:val="none"/>
        </w:rPr>
        <w:t>份，具有同等效力。甲乙双方各持一份正本，副本按照甲方要求执行，鉴证方留存一份副本。</w:t>
      </w:r>
    </w:p>
    <w:p w14:paraId="63F5EC65">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3.本合同的订立、履行、变更、终止、解释等均适用中华人民共和国法律。</w:t>
      </w:r>
    </w:p>
    <w:p w14:paraId="37AD5028">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4.本合同未尽事宜由双方共同协商，另行订立补充协议，补充协议与本合同具有同样的法律效力。如果本合同之附件与本合同规定不符, 以本合同规定为准。</w:t>
      </w:r>
    </w:p>
    <w:p w14:paraId="544087AA">
      <w:pPr>
        <w:keepNext w:val="0"/>
        <w:keepLines w:val="0"/>
        <w:pageBreakBefore w:val="0"/>
        <w:widowControl w:val="0"/>
        <w:shd w:val="clear" w:color="auto" w:fill="FFFFFF"/>
        <w:kinsoku/>
        <w:wordWrap/>
        <w:overflowPunct/>
        <w:topLinePunct w:val="0"/>
        <w:bidi w:val="0"/>
        <w:adjustRightInd w:val="0"/>
        <w:snapToGrid w:val="0"/>
        <w:spacing w:line="360" w:lineRule="auto"/>
        <w:ind w:left="0"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5.本合同甲、乙双方均同意以上条款内容。</w:t>
      </w:r>
    </w:p>
    <w:p w14:paraId="5A03FA83">
      <w:pPr>
        <w:pStyle w:val="3"/>
        <w:rPr>
          <w:rFonts w:hint="eastAsia" w:ascii="仿宋" w:hAnsi="仿宋" w:eastAsia="仿宋" w:cs="仿宋"/>
          <w:kern w:val="28"/>
          <w:sz w:val="24"/>
          <w:szCs w:val="24"/>
          <w:highlight w:val="none"/>
        </w:rPr>
      </w:pPr>
    </w:p>
    <w:p w14:paraId="456FA142">
      <w:pPr>
        <w:rPr>
          <w:rFonts w:hint="eastAsia" w:ascii="仿宋" w:hAnsi="仿宋" w:eastAsia="仿宋" w:cs="仿宋"/>
          <w:kern w:val="28"/>
          <w:sz w:val="24"/>
          <w:szCs w:val="24"/>
          <w:highlight w:val="none"/>
        </w:rPr>
      </w:pPr>
    </w:p>
    <w:p w14:paraId="2231C7CF">
      <w:pPr>
        <w:pStyle w:val="3"/>
        <w:rPr>
          <w:rFonts w:hint="eastAsia" w:ascii="仿宋" w:hAnsi="仿宋" w:eastAsia="仿宋" w:cs="仿宋"/>
          <w:kern w:val="28"/>
          <w:sz w:val="24"/>
          <w:szCs w:val="24"/>
          <w:highlight w:val="none"/>
        </w:rPr>
      </w:pPr>
    </w:p>
    <w:p w14:paraId="588018BA">
      <w:pPr>
        <w:rPr>
          <w:rFonts w:hint="eastAsia" w:ascii="仿宋" w:hAnsi="仿宋" w:eastAsia="仿宋" w:cs="仿宋"/>
          <w:kern w:val="28"/>
          <w:sz w:val="24"/>
          <w:szCs w:val="24"/>
          <w:highlight w:val="none"/>
        </w:rPr>
      </w:pPr>
    </w:p>
    <w:p w14:paraId="7CB1E770">
      <w:pPr>
        <w:pStyle w:val="3"/>
        <w:rPr>
          <w:rFonts w:hint="eastAsia" w:ascii="仿宋" w:hAnsi="仿宋" w:eastAsia="仿宋" w:cs="仿宋"/>
          <w:kern w:val="28"/>
          <w:sz w:val="24"/>
          <w:szCs w:val="24"/>
          <w:highlight w:val="none"/>
        </w:rPr>
      </w:pPr>
    </w:p>
    <w:p w14:paraId="241B9AF3">
      <w:pPr>
        <w:rPr>
          <w:rFonts w:hint="eastAsia" w:ascii="仿宋" w:hAnsi="仿宋" w:eastAsia="仿宋" w:cs="仿宋"/>
          <w:kern w:val="28"/>
          <w:sz w:val="24"/>
          <w:szCs w:val="24"/>
          <w:highlight w:val="none"/>
        </w:rPr>
      </w:pPr>
    </w:p>
    <w:p w14:paraId="276175F8">
      <w:pPr>
        <w:pStyle w:val="3"/>
        <w:rPr>
          <w:rFonts w:hint="eastAsia" w:ascii="仿宋" w:hAnsi="仿宋" w:eastAsia="仿宋" w:cs="仿宋"/>
          <w:kern w:val="28"/>
          <w:sz w:val="24"/>
          <w:szCs w:val="24"/>
          <w:highlight w:val="none"/>
        </w:rPr>
      </w:pPr>
    </w:p>
    <w:p w14:paraId="3B6AAD46">
      <w:pPr>
        <w:rPr>
          <w:rFonts w:hint="eastAsia" w:ascii="仿宋" w:hAnsi="仿宋" w:eastAsia="仿宋" w:cs="仿宋"/>
          <w:kern w:val="28"/>
          <w:sz w:val="24"/>
          <w:szCs w:val="24"/>
          <w:highlight w:val="none"/>
        </w:rPr>
      </w:pPr>
    </w:p>
    <w:p w14:paraId="668438DE">
      <w:pPr>
        <w:pStyle w:val="3"/>
        <w:rPr>
          <w:rFonts w:hint="eastAsia" w:ascii="仿宋" w:hAnsi="仿宋" w:eastAsia="仿宋" w:cs="仿宋"/>
          <w:kern w:val="28"/>
          <w:sz w:val="24"/>
          <w:szCs w:val="24"/>
          <w:highlight w:val="none"/>
        </w:rPr>
      </w:pPr>
    </w:p>
    <w:p w14:paraId="3EA57EA0">
      <w:pPr>
        <w:rPr>
          <w:rFonts w:hint="eastAsia"/>
          <w:highlight w:val="none"/>
        </w:rPr>
      </w:pPr>
    </w:p>
    <w:tbl>
      <w:tblPr>
        <w:tblStyle w:val="5"/>
        <w:tblW w:w="0" w:type="auto"/>
        <w:tblInd w:w="0" w:type="dxa"/>
        <w:tblLayout w:type="fixed"/>
        <w:tblCellMar>
          <w:top w:w="0" w:type="dxa"/>
          <w:left w:w="108" w:type="dxa"/>
          <w:bottom w:w="0" w:type="dxa"/>
          <w:right w:w="108" w:type="dxa"/>
        </w:tblCellMar>
      </w:tblPr>
      <w:tblGrid>
        <w:gridCol w:w="4672"/>
        <w:gridCol w:w="4256"/>
      </w:tblGrid>
      <w:tr w14:paraId="4F6A4D84">
        <w:tblPrEx>
          <w:tblCellMar>
            <w:top w:w="0" w:type="dxa"/>
            <w:left w:w="108" w:type="dxa"/>
            <w:bottom w:w="0" w:type="dxa"/>
            <w:right w:w="108" w:type="dxa"/>
          </w:tblCellMar>
        </w:tblPrEx>
        <w:trPr>
          <w:trHeight w:val="562" w:hRule="atLeast"/>
        </w:trPr>
        <w:tc>
          <w:tcPr>
            <w:tcW w:w="4672" w:type="dxa"/>
            <w:noWrap w:val="0"/>
            <w:vAlign w:val="top"/>
          </w:tcPr>
          <w:p w14:paraId="70D8CC3E">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甲方：  (盖章)</w:t>
            </w:r>
          </w:p>
        </w:tc>
        <w:tc>
          <w:tcPr>
            <w:tcW w:w="4256" w:type="dxa"/>
            <w:noWrap w:val="0"/>
            <w:vAlign w:val="top"/>
          </w:tcPr>
          <w:p w14:paraId="7EE69C74">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乙方：（盖章）</w:t>
            </w:r>
          </w:p>
        </w:tc>
      </w:tr>
      <w:tr w14:paraId="1FEEB0FB">
        <w:tblPrEx>
          <w:tblCellMar>
            <w:top w:w="0" w:type="dxa"/>
            <w:left w:w="108" w:type="dxa"/>
            <w:bottom w:w="0" w:type="dxa"/>
            <w:right w:w="108" w:type="dxa"/>
          </w:tblCellMar>
        </w:tblPrEx>
        <w:trPr>
          <w:trHeight w:val="562" w:hRule="atLeast"/>
        </w:trPr>
        <w:tc>
          <w:tcPr>
            <w:tcW w:w="4672" w:type="dxa"/>
            <w:noWrap w:val="0"/>
            <w:vAlign w:val="top"/>
          </w:tcPr>
          <w:p w14:paraId="19156BEB">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法定代表人：</w:t>
            </w:r>
          </w:p>
        </w:tc>
        <w:tc>
          <w:tcPr>
            <w:tcW w:w="4256" w:type="dxa"/>
            <w:noWrap w:val="0"/>
            <w:vAlign w:val="top"/>
          </w:tcPr>
          <w:p w14:paraId="6F717E76">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法定代表人：</w:t>
            </w:r>
          </w:p>
        </w:tc>
      </w:tr>
      <w:tr w14:paraId="55F54C1B">
        <w:tblPrEx>
          <w:tblCellMar>
            <w:top w:w="0" w:type="dxa"/>
            <w:left w:w="108" w:type="dxa"/>
            <w:bottom w:w="0" w:type="dxa"/>
            <w:right w:w="108" w:type="dxa"/>
          </w:tblCellMar>
        </w:tblPrEx>
        <w:trPr>
          <w:trHeight w:val="562" w:hRule="atLeast"/>
        </w:trPr>
        <w:tc>
          <w:tcPr>
            <w:tcW w:w="4672" w:type="dxa"/>
            <w:noWrap w:val="0"/>
            <w:vAlign w:val="top"/>
          </w:tcPr>
          <w:p w14:paraId="0EE76FC4">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或委托代理人：（签字）</w:t>
            </w:r>
          </w:p>
        </w:tc>
        <w:tc>
          <w:tcPr>
            <w:tcW w:w="4256" w:type="dxa"/>
            <w:noWrap w:val="0"/>
            <w:vAlign w:val="top"/>
          </w:tcPr>
          <w:p w14:paraId="17EFE5BD">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或委托代理人：（签字）</w:t>
            </w:r>
          </w:p>
        </w:tc>
      </w:tr>
      <w:tr w14:paraId="2DACCEAC">
        <w:tblPrEx>
          <w:tblCellMar>
            <w:top w:w="0" w:type="dxa"/>
            <w:left w:w="108" w:type="dxa"/>
            <w:bottom w:w="0" w:type="dxa"/>
            <w:right w:w="108" w:type="dxa"/>
          </w:tblCellMar>
        </w:tblPrEx>
        <w:trPr>
          <w:trHeight w:val="562" w:hRule="atLeast"/>
        </w:trPr>
        <w:tc>
          <w:tcPr>
            <w:tcW w:w="4672" w:type="dxa"/>
            <w:noWrap w:val="0"/>
            <w:vAlign w:val="top"/>
          </w:tcPr>
          <w:p w14:paraId="033E6324">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 xml:space="preserve">经办人：（签字） </w:t>
            </w:r>
          </w:p>
        </w:tc>
        <w:tc>
          <w:tcPr>
            <w:tcW w:w="4256" w:type="dxa"/>
            <w:noWrap w:val="0"/>
            <w:vAlign w:val="top"/>
          </w:tcPr>
          <w:p w14:paraId="051B4462">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 xml:space="preserve">经办人：（签字） </w:t>
            </w:r>
          </w:p>
        </w:tc>
      </w:tr>
      <w:tr w14:paraId="29BC213D">
        <w:tblPrEx>
          <w:tblCellMar>
            <w:top w:w="0" w:type="dxa"/>
            <w:left w:w="108" w:type="dxa"/>
            <w:bottom w:w="0" w:type="dxa"/>
            <w:right w:w="108" w:type="dxa"/>
          </w:tblCellMar>
        </w:tblPrEx>
        <w:trPr>
          <w:trHeight w:val="562" w:hRule="atLeast"/>
        </w:trPr>
        <w:tc>
          <w:tcPr>
            <w:tcW w:w="4672" w:type="dxa"/>
            <w:noWrap w:val="0"/>
            <w:vAlign w:val="top"/>
          </w:tcPr>
          <w:p w14:paraId="17F74E84">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地    址：</w:t>
            </w:r>
          </w:p>
        </w:tc>
        <w:tc>
          <w:tcPr>
            <w:tcW w:w="4256" w:type="dxa"/>
            <w:noWrap w:val="0"/>
            <w:vAlign w:val="top"/>
          </w:tcPr>
          <w:p w14:paraId="61776978">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地    址：</w:t>
            </w:r>
          </w:p>
        </w:tc>
      </w:tr>
      <w:tr w14:paraId="210322DE">
        <w:tblPrEx>
          <w:tblCellMar>
            <w:top w:w="0" w:type="dxa"/>
            <w:left w:w="108" w:type="dxa"/>
            <w:bottom w:w="0" w:type="dxa"/>
            <w:right w:w="108" w:type="dxa"/>
          </w:tblCellMar>
        </w:tblPrEx>
        <w:trPr>
          <w:trHeight w:val="574" w:hRule="atLeast"/>
        </w:trPr>
        <w:tc>
          <w:tcPr>
            <w:tcW w:w="4672" w:type="dxa"/>
            <w:noWrap w:val="0"/>
            <w:vAlign w:val="top"/>
          </w:tcPr>
          <w:p w14:paraId="419D33E7">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电    话：</w:t>
            </w:r>
          </w:p>
        </w:tc>
        <w:tc>
          <w:tcPr>
            <w:tcW w:w="4256" w:type="dxa"/>
            <w:noWrap w:val="0"/>
            <w:vAlign w:val="top"/>
          </w:tcPr>
          <w:p w14:paraId="31B6DFD0">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电    话：</w:t>
            </w:r>
          </w:p>
        </w:tc>
      </w:tr>
      <w:tr w14:paraId="4E7ED632">
        <w:tblPrEx>
          <w:tblCellMar>
            <w:top w:w="0" w:type="dxa"/>
            <w:left w:w="108" w:type="dxa"/>
            <w:bottom w:w="0" w:type="dxa"/>
            <w:right w:w="108" w:type="dxa"/>
          </w:tblCellMar>
        </w:tblPrEx>
        <w:trPr>
          <w:trHeight w:val="574" w:hRule="atLeast"/>
        </w:trPr>
        <w:tc>
          <w:tcPr>
            <w:tcW w:w="4672" w:type="dxa"/>
            <w:noWrap w:val="0"/>
            <w:vAlign w:val="top"/>
          </w:tcPr>
          <w:p w14:paraId="5C5F3D5F">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传    真：</w:t>
            </w:r>
          </w:p>
        </w:tc>
        <w:tc>
          <w:tcPr>
            <w:tcW w:w="4256" w:type="dxa"/>
            <w:noWrap w:val="0"/>
            <w:vAlign w:val="top"/>
          </w:tcPr>
          <w:p w14:paraId="31411B51">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传    真：</w:t>
            </w:r>
          </w:p>
        </w:tc>
      </w:tr>
      <w:tr w14:paraId="13373F60">
        <w:tblPrEx>
          <w:tblCellMar>
            <w:top w:w="0" w:type="dxa"/>
            <w:left w:w="108" w:type="dxa"/>
            <w:bottom w:w="0" w:type="dxa"/>
            <w:right w:w="108" w:type="dxa"/>
          </w:tblCellMar>
        </w:tblPrEx>
        <w:trPr>
          <w:trHeight w:val="574" w:hRule="atLeast"/>
        </w:trPr>
        <w:tc>
          <w:tcPr>
            <w:tcW w:w="4672" w:type="dxa"/>
            <w:noWrap w:val="0"/>
            <w:vAlign w:val="top"/>
          </w:tcPr>
          <w:p w14:paraId="7570E339">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开户银行：</w:t>
            </w:r>
          </w:p>
        </w:tc>
        <w:tc>
          <w:tcPr>
            <w:tcW w:w="4256" w:type="dxa"/>
            <w:noWrap w:val="0"/>
            <w:vAlign w:val="top"/>
          </w:tcPr>
          <w:p w14:paraId="7A653C4F">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开户银行：</w:t>
            </w:r>
          </w:p>
        </w:tc>
      </w:tr>
      <w:tr w14:paraId="78C2B695">
        <w:tblPrEx>
          <w:tblCellMar>
            <w:top w:w="0" w:type="dxa"/>
            <w:left w:w="108" w:type="dxa"/>
            <w:bottom w:w="0" w:type="dxa"/>
            <w:right w:w="108" w:type="dxa"/>
          </w:tblCellMar>
        </w:tblPrEx>
        <w:trPr>
          <w:trHeight w:val="574" w:hRule="atLeast"/>
        </w:trPr>
        <w:tc>
          <w:tcPr>
            <w:tcW w:w="4672" w:type="dxa"/>
            <w:noWrap w:val="0"/>
            <w:vAlign w:val="top"/>
          </w:tcPr>
          <w:p w14:paraId="31D1930F">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 xml:space="preserve">银行账号： </w:t>
            </w:r>
          </w:p>
        </w:tc>
        <w:tc>
          <w:tcPr>
            <w:tcW w:w="4256" w:type="dxa"/>
            <w:noWrap w:val="0"/>
            <w:vAlign w:val="top"/>
          </w:tcPr>
          <w:p w14:paraId="4BBB4773">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 xml:space="preserve">银行账号： </w:t>
            </w:r>
          </w:p>
        </w:tc>
      </w:tr>
      <w:tr w14:paraId="37F74E55">
        <w:tblPrEx>
          <w:tblCellMar>
            <w:top w:w="0" w:type="dxa"/>
            <w:left w:w="108" w:type="dxa"/>
            <w:bottom w:w="0" w:type="dxa"/>
            <w:right w:w="108" w:type="dxa"/>
          </w:tblCellMar>
        </w:tblPrEx>
        <w:trPr>
          <w:trHeight w:val="574" w:hRule="atLeast"/>
        </w:trPr>
        <w:tc>
          <w:tcPr>
            <w:tcW w:w="4672" w:type="dxa"/>
            <w:noWrap w:val="0"/>
            <w:vAlign w:val="top"/>
          </w:tcPr>
          <w:p w14:paraId="71685077">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签订日期：202</w:t>
            </w: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年   月   日</w:t>
            </w:r>
          </w:p>
        </w:tc>
        <w:tc>
          <w:tcPr>
            <w:tcW w:w="4256" w:type="dxa"/>
            <w:noWrap w:val="0"/>
            <w:vAlign w:val="top"/>
          </w:tcPr>
          <w:p w14:paraId="45CA5EE9">
            <w:pPr>
              <w:adjustRightInd w:val="0"/>
              <w:snapToGrid w:val="0"/>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签订日期：202</w:t>
            </w: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年   月   日</w:t>
            </w:r>
          </w:p>
        </w:tc>
      </w:tr>
    </w:tbl>
    <w:p w14:paraId="5DF2C768">
      <w:pPr>
        <w:rPr>
          <w:rFonts w:hint="eastAsia" w:ascii="仿宋" w:hAnsi="仿宋" w:eastAsia="仿宋" w:cs="仿宋"/>
          <w:highlight w:val="none"/>
          <w:lang w:val="en-US" w:eastAsia="zh-Hans"/>
        </w:rPr>
      </w:pPr>
      <w:r>
        <w:rPr>
          <w:rFonts w:hint="eastAsia" w:ascii="仿宋" w:hAnsi="仿宋" w:eastAsia="仿宋" w:cs="仿宋"/>
          <w:highlight w:val="none"/>
          <w:lang w:val="en-US" w:eastAsia="zh-Hans"/>
        </w:rPr>
        <w:br w:type="page"/>
      </w:r>
    </w:p>
    <w:p w14:paraId="12767A31">
      <w:pPr>
        <w:spacing w:line="576" w:lineRule="exact"/>
        <w:rPr>
          <w:rFonts w:hint="eastAsia" w:ascii="仿宋" w:hAnsi="仿宋" w:eastAsia="仿宋" w:cs="仿宋"/>
          <w:b/>
          <w:bCs/>
          <w:sz w:val="24"/>
          <w:szCs w:val="24"/>
          <w:highlight w:val="none"/>
          <w:lang w:eastAsia="zh-CN"/>
        </w:rPr>
      </w:pPr>
      <w:r>
        <w:rPr>
          <w:rFonts w:hint="eastAsia" w:ascii="仿宋" w:hAnsi="仿宋" w:eastAsia="仿宋" w:cs="仿宋"/>
          <w:sz w:val="24"/>
          <w:szCs w:val="24"/>
          <w:highlight w:val="none"/>
        </w:rPr>
        <w:t>附件</w:t>
      </w:r>
      <w:r>
        <w:rPr>
          <w:rFonts w:hint="eastAsia" w:ascii="仿宋" w:hAnsi="仿宋" w:eastAsia="仿宋" w:cs="仿宋"/>
          <w:sz w:val="24"/>
          <w:szCs w:val="24"/>
          <w:highlight w:val="none"/>
          <w:lang w:val="en-US" w:eastAsia="zh-CN"/>
        </w:rPr>
        <w:t>1</w:t>
      </w:r>
    </w:p>
    <w:p w14:paraId="3D01572D">
      <w:pPr>
        <w:keepNext w:val="0"/>
        <w:keepLines w:val="0"/>
        <w:pageBreakBefore w:val="0"/>
        <w:widowControl w:val="0"/>
        <w:tabs>
          <w:tab w:val="left" w:pos="5648"/>
        </w:tabs>
        <w:kinsoku/>
        <w:wordWrap/>
        <w:overflowPunct/>
        <w:topLinePunct w:val="0"/>
        <w:autoSpaceDE/>
        <w:autoSpaceDN/>
        <w:bidi w:val="0"/>
        <w:adjustRightInd/>
        <w:spacing w:after="0" w:line="576" w:lineRule="exact"/>
        <w:jc w:val="center"/>
        <w:textAlignment w:val="auto"/>
        <w:outlineLvl w:val="0"/>
        <w:rPr>
          <w:rFonts w:hint="eastAsia" w:ascii="仿宋" w:hAnsi="仿宋" w:eastAsia="仿宋" w:cs="仿宋"/>
          <w:b/>
          <w:bCs/>
          <w:kern w:val="0"/>
          <w:sz w:val="24"/>
          <w:szCs w:val="24"/>
          <w:highlight w:val="none"/>
          <w:lang w:val="en-US" w:eastAsia="zh-CN"/>
        </w:rPr>
      </w:pPr>
      <w:r>
        <w:rPr>
          <w:rFonts w:hint="eastAsia" w:ascii="仿宋" w:hAnsi="仿宋" w:eastAsia="仿宋" w:cs="仿宋"/>
          <w:b/>
          <w:bCs/>
          <w:w w:val="100"/>
          <w:sz w:val="24"/>
          <w:szCs w:val="24"/>
          <w:highlight w:val="none"/>
          <w:lang w:val="en-US" w:eastAsia="zh-CN"/>
        </w:rPr>
        <w:t>服务考核办法</w:t>
      </w:r>
    </w:p>
    <w:p w14:paraId="720D536A">
      <w:pPr>
        <w:keepNext w:val="0"/>
        <w:keepLines w:val="0"/>
        <w:pageBreakBefore w:val="0"/>
        <w:widowControl w:val="0"/>
        <w:tabs>
          <w:tab w:val="left" w:pos="5648"/>
        </w:tabs>
        <w:kinsoku/>
        <w:wordWrap/>
        <w:overflowPunct/>
        <w:topLinePunct w:val="0"/>
        <w:autoSpaceDE/>
        <w:autoSpaceDN/>
        <w:bidi w:val="0"/>
        <w:adjustRightInd/>
        <w:snapToGrid/>
        <w:spacing w:after="0" w:line="576"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2025年西安市市级部门等保测评集采分用项目考核采用扣分制，满分为100分。该得分将作为项目尾款支付的依据，具体执行标准如下：</w:t>
      </w:r>
    </w:p>
    <w:p w14:paraId="05923BCC">
      <w:pPr>
        <w:keepNext w:val="0"/>
        <w:keepLines w:val="0"/>
        <w:pageBreakBefore w:val="0"/>
        <w:widowControl w:val="0"/>
        <w:tabs>
          <w:tab w:val="left" w:pos="5648"/>
        </w:tabs>
        <w:kinsoku/>
        <w:wordWrap/>
        <w:overflowPunct/>
        <w:topLinePunct w:val="0"/>
        <w:autoSpaceDE/>
        <w:autoSpaceDN/>
        <w:bidi w:val="0"/>
        <w:adjustRightInd/>
        <w:snapToGrid/>
        <w:spacing w:after="0" w:line="576"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尾款=合同金额*支付比例-已付金额</w:t>
      </w:r>
    </w:p>
    <w:tbl>
      <w:tblPr>
        <w:tblStyle w:val="5"/>
        <w:tblW w:w="8399" w:type="dxa"/>
        <w:jc w:val="center"/>
        <w:tblLayout w:type="autofit"/>
        <w:tblCellMar>
          <w:top w:w="0" w:type="dxa"/>
          <w:left w:w="108" w:type="dxa"/>
          <w:bottom w:w="0" w:type="dxa"/>
          <w:right w:w="108" w:type="dxa"/>
        </w:tblCellMar>
      </w:tblPr>
      <w:tblGrid>
        <w:gridCol w:w="1506"/>
        <w:gridCol w:w="4234"/>
        <w:gridCol w:w="2659"/>
      </w:tblGrid>
      <w:tr w14:paraId="11EB5D2C">
        <w:tblPrEx>
          <w:tblCellMar>
            <w:top w:w="0" w:type="dxa"/>
            <w:left w:w="108" w:type="dxa"/>
            <w:bottom w:w="0" w:type="dxa"/>
            <w:right w:w="108" w:type="dxa"/>
          </w:tblCellMar>
        </w:tblPrEx>
        <w:trPr>
          <w:trHeight w:val="597" w:hRule="atLeast"/>
          <w:jc w:val="center"/>
        </w:trPr>
        <w:tc>
          <w:tcPr>
            <w:tcW w:w="1506" w:type="dxa"/>
            <w:tcBorders>
              <w:top w:val="single" w:color="auto" w:sz="4" w:space="0"/>
              <w:left w:val="single" w:color="auto" w:sz="4" w:space="0"/>
              <w:bottom w:val="single" w:color="auto" w:sz="4" w:space="0"/>
              <w:right w:val="single" w:color="auto" w:sz="4" w:space="0"/>
            </w:tcBorders>
            <w:vAlign w:val="bottom"/>
          </w:tcPr>
          <w:p w14:paraId="53B68E58">
            <w:pPr>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4234" w:type="dxa"/>
            <w:tcBorders>
              <w:top w:val="single" w:color="auto" w:sz="4" w:space="0"/>
              <w:left w:val="nil"/>
              <w:bottom w:val="single" w:color="auto" w:sz="4" w:space="0"/>
              <w:right w:val="single" w:color="auto" w:sz="4" w:space="0"/>
            </w:tcBorders>
            <w:vAlign w:val="center"/>
          </w:tcPr>
          <w:p w14:paraId="588E1892">
            <w:pPr>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最终考核得分</w:t>
            </w:r>
          </w:p>
        </w:tc>
        <w:tc>
          <w:tcPr>
            <w:tcW w:w="2659" w:type="dxa"/>
            <w:tcBorders>
              <w:top w:val="single" w:color="auto" w:sz="4" w:space="0"/>
              <w:left w:val="nil"/>
              <w:bottom w:val="single" w:color="auto" w:sz="4" w:space="0"/>
              <w:right w:val="single" w:color="auto" w:sz="4" w:space="0"/>
            </w:tcBorders>
            <w:vAlign w:val="bottom"/>
          </w:tcPr>
          <w:p w14:paraId="4119D671">
            <w:pPr>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支付比例</w:t>
            </w:r>
          </w:p>
        </w:tc>
      </w:tr>
      <w:tr w14:paraId="52BC9094">
        <w:tblPrEx>
          <w:tblCellMar>
            <w:top w:w="0" w:type="dxa"/>
            <w:left w:w="108" w:type="dxa"/>
            <w:bottom w:w="0" w:type="dxa"/>
            <w:right w:w="108" w:type="dxa"/>
          </w:tblCellMar>
        </w:tblPrEx>
        <w:trPr>
          <w:trHeight w:val="527" w:hRule="atLeast"/>
          <w:jc w:val="center"/>
        </w:trPr>
        <w:tc>
          <w:tcPr>
            <w:tcW w:w="1506" w:type="dxa"/>
            <w:tcBorders>
              <w:top w:val="nil"/>
              <w:left w:val="single" w:color="auto" w:sz="4" w:space="0"/>
              <w:bottom w:val="single" w:color="auto" w:sz="4" w:space="0"/>
              <w:right w:val="single" w:color="auto" w:sz="4" w:space="0"/>
            </w:tcBorders>
            <w:vAlign w:val="bottom"/>
          </w:tcPr>
          <w:p w14:paraId="00E2C976">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4234" w:type="dxa"/>
            <w:tcBorders>
              <w:top w:val="nil"/>
              <w:left w:val="nil"/>
              <w:bottom w:val="single" w:color="auto" w:sz="4" w:space="0"/>
              <w:right w:val="single" w:color="auto" w:sz="4" w:space="0"/>
            </w:tcBorders>
            <w:vAlign w:val="bottom"/>
          </w:tcPr>
          <w:p w14:paraId="372D878B">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90≤得分≤100</w:t>
            </w:r>
          </w:p>
        </w:tc>
        <w:tc>
          <w:tcPr>
            <w:tcW w:w="2659" w:type="dxa"/>
            <w:tcBorders>
              <w:top w:val="nil"/>
              <w:left w:val="nil"/>
              <w:bottom w:val="single" w:color="auto" w:sz="4" w:space="0"/>
              <w:right w:val="single" w:color="auto" w:sz="4" w:space="0"/>
            </w:tcBorders>
            <w:vAlign w:val="bottom"/>
          </w:tcPr>
          <w:p w14:paraId="3C154DC2">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100%</w:t>
            </w:r>
          </w:p>
        </w:tc>
      </w:tr>
      <w:tr w14:paraId="66CD885E">
        <w:tblPrEx>
          <w:tblCellMar>
            <w:top w:w="0" w:type="dxa"/>
            <w:left w:w="108" w:type="dxa"/>
            <w:bottom w:w="0" w:type="dxa"/>
            <w:right w:w="108" w:type="dxa"/>
          </w:tblCellMar>
        </w:tblPrEx>
        <w:trPr>
          <w:trHeight w:val="527" w:hRule="atLeast"/>
          <w:jc w:val="center"/>
        </w:trPr>
        <w:tc>
          <w:tcPr>
            <w:tcW w:w="1506" w:type="dxa"/>
            <w:tcBorders>
              <w:top w:val="nil"/>
              <w:left w:val="single" w:color="auto" w:sz="4" w:space="0"/>
              <w:bottom w:val="single" w:color="auto" w:sz="4" w:space="0"/>
              <w:right w:val="single" w:color="auto" w:sz="4" w:space="0"/>
            </w:tcBorders>
            <w:vAlign w:val="bottom"/>
          </w:tcPr>
          <w:p w14:paraId="33A3643D">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4234" w:type="dxa"/>
            <w:tcBorders>
              <w:top w:val="nil"/>
              <w:left w:val="nil"/>
              <w:bottom w:val="single" w:color="auto" w:sz="4" w:space="0"/>
              <w:right w:val="single" w:color="auto" w:sz="4" w:space="0"/>
            </w:tcBorders>
            <w:vAlign w:val="bottom"/>
          </w:tcPr>
          <w:p w14:paraId="0C3AD1B4">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80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得分</w:t>
            </w:r>
            <w:r>
              <w:rPr>
                <w:rFonts w:hint="eastAsia" w:ascii="仿宋" w:hAnsi="仿宋" w:eastAsia="仿宋" w:cs="仿宋"/>
                <w:sz w:val="24"/>
                <w:szCs w:val="24"/>
                <w:highlight w:val="none"/>
              </w:rPr>
              <w:t>＜9</w:t>
            </w:r>
            <w:r>
              <w:rPr>
                <w:rFonts w:hint="eastAsia" w:ascii="仿宋" w:hAnsi="仿宋" w:eastAsia="仿宋" w:cs="仿宋"/>
                <w:sz w:val="24"/>
                <w:szCs w:val="24"/>
                <w:highlight w:val="none"/>
                <w:lang w:val="en-US" w:eastAsia="zh-CN"/>
              </w:rPr>
              <w:t>0</w:t>
            </w:r>
          </w:p>
        </w:tc>
        <w:tc>
          <w:tcPr>
            <w:tcW w:w="2659" w:type="dxa"/>
            <w:tcBorders>
              <w:top w:val="nil"/>
              <w:left w:val="nil"/>
              <w:bottom w:val="single" w:color="auto" w:sz="4" w:space="0"/>
              <w:right w:val="single" w:color="auto" w:sz="4" w:space="0"/>
            </w:tcBorders>
            <w:vAlign w:val="bottom"/>
          </w:tcPr>
          <w:p w14:paraId="607A500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9</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w:t>
            </w:r>
          </w:p>
        </w:tc>
      </w:tr>
      <w:tr w14:paraId="1D639227">
        <w:tblPrEx>
          <w:tblCellMar>
            <w:top w:w="0" w:type="dxa"/>
            <w:left w:w="108" w:type="dxa"/>
            <w:bottom w:w="0" w:type="dxa"/>
            <w:right w:w="108" w:type="dxa"/>
          </w:tblCellMar>
        </w:tblPrEx>
        <w:trPr>
          <w:trHeight w:val="527" w:hRule="atLeast"/>
          <w:jc w:val="center"/>
        </w:trPr>
        <w:tc>
          <w:tcPr>
            <w:tcW w:w="1506" w:type="dxa"/>
            <w:tcBorders>
              <w:top w:val="nil"/>
              <w:left w:val="single" w:color="auto" w:sz="4" w:space="0"/>
              <w:bottom w:val="single" w:color="auto" w:sz="4" w:space="0"/>
              <w:right w:val="single" w:color="auto" w:sz="4" w:space="0"/>
            </w:tcBorders>
            <w:vAlign w:val="bottom"/>
          </w:tcPr>
          <w:p w14:paraId="44DA2D70">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4234" w:type="dxa"/>
            <w:tcBorders>
              <w:top w:val="nil"/>
              <w:left w:val="nil"/>
              <w:bottom w:val="single" w:color="auto" w:sz="4" w:space="0"/>
              <w:right w:val="single" w:color="auto" w:sz="4" w:space="0"/>
            </w:tcBorders>
            <w:vAlign w:val="bottom"/>
          </w:tcPr>
          <w:p w14:paraId="440CBACF">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得分</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0</w:t>
            </w:r>
          </w:p>
        </w:tc>
        <w:tc>
          <w:tcPr>
            <w:tcW w:w="2659" w:type="dxa"/>
            <w:tcBorders>
              <w:top w:val="nil"/>
              <w:left w:val="nil"/>
              <w:bottom w:val="single" w:color="auto" w:sz="4" w:space="0"/>
              <w:right w:val="single" w:color="auto" w:sz="4" w:space="0"/>
            </w:tcBorders>
            <w:vAlign w:val="bottom"/>
          </w:tcPr>
          <w:p w14:paraId="640AA28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80</w:t>
            </w:r>
            <w:r>
              <w:rPr>
                <w:rFonts w:hint="eastAsia" w:ascii="仿宋" w:hAnsi="仿宋" w:eastAsia="仿宋" w:cs="仿宋"/>
                <w:sz w:val="24"/>
                <w:szCs w:val="24"/>
                <w:highlight w:val="none"/>
              </w:rPr>
              <w:t>%</w:t>
            </w:r>
          </w:p>
        </w:tc>
      </w:tr>
      <w:tr w14:paraId="62855549">
        <w:tblPrEx>
          <w:tblCellMar>
            <w:top w:w="0" w:type="dxa"/>
            <w:left w:w="108" w:type="dxa"/>
            <w:bottom w:w="0" w:type="dxa"/>
            <w:right w:w="108" w:type="dxa"/>
          </w:tblCellMar>
        </w:tblPrEx>
        <w:trPr>
          <w:trHeight w:val="545" w:hRule="atLeast"/>
          <w:jc w:val="center"/>
        </w:trPr>
        <w:tc>
          <w:tcPr>
            <w:tcW w:w="1506" w:type="dxa"/>
            <w:tcBorders>
              <w:top w:val="nil"/>
              <w:left w:val="single" w:color="auto" w:sz="4" w:space="0"/>
              <w:bottom w:val="single" w:color="auto" w:sz="4" w:space="0"/>
              <w:right w:val="single" w:color="auto" w:sz="4" w:space="0"/>
            </w:tcBorders>
            <w:vAlign w:val="bottom"/>
          </w:tcPr>
          <w:p w14:paraId="7AC1E182">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4234" w:type="dxa"/>
            <w:tcBorders>
              <w:top w:val="nil"/>
              <w:left w:val="nil"/>
              <w:bottom w:val="single" w:color="auto" w:sz="4" w:space="0"/>
              <w:right w:val="single" w:color="auto" w:sz="4" w:space="0"/>
            </w:tcBorders>
            <w:vAlign w:val="bottom"/>
          </w:tcPr>
          <w:p w14:paraId="3647029D">
            <w:pPr>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得分</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70</w:t>
            </w:r>
          </w:p>
        </w:tc>
        <w:tc>
          <w:tcPr>
            <w:tcW w:w="2659" w:type="dxa"/>
            <w:tcBorders>
              <w:top w:val="nil"/>
              <w:left w:val="nil"/>
              <w:bottom w:val="single" w:color="auto" w:sz="4" w:space="0"/>
              <w:right w:val="single" w:color="auto" w:sz="4" w:space="0"/>
            </w:tcBorders>
            <w:vAlign w:val="bottom"/>
          </w:tcPr>
          <w:p w14:paraId="268A6D39">
            <w:pPr>
              <w:jc w:val="center"/>
              <w:rPr>
                <w:rFonts w:hint="eastAsia" w:ascii="仿宋" w:hAnsi="仿宋" w:eastAsia="仿宋" w:cs="仿宋"/>
                <w:sz w:val="24"/>
                <w:szCs w:val="24"/>
                <w:highlight w:val="none"/>
                <w:lang w:val="en-US"/>
              </w:rPr>
            </w:pPr>
            <w:r>
              <w:rPr>
                <w:rFonts w:hint="eastAsia" w:ascii="仿宋" w:hAnsi="仿宋" w:eastAsia="仿宋" w:cs="仿宋"/>
                <w:sz w:val="24"/>
                <w:szCs w:val="24"/>
                <w:highlight w:val="none"/>
                <w:lang w:val="en-US" w:eastAsia="zh-CN"/>
              </w:rPr>
              <w:t>70%</w:t>
            </w:r>
          </w:p>
        </w:tc>
      </w:tr>
    </w:tbl>
    <w:p w14:paraId="19BD4F16">
      <w:pPr>
        <w:keepNext w:val="0"/>
        <w:keepLines w:val="0"/>
        <w:pageBreakBefore w:val="0"/>
        <w:widowControl w:val="0"/>
        <w:tabs>
          <w:tab w:val="left" w:pos="5648"/>
        </w:tabs>
        <w:kinsoku/>
        <w:wordWrap/>
        <w:overflowPunct/>
        <w:topLinePunct w:val="0"/>
        <w:autoSpaceDE/>
        <w:autoSpaceDN/>
        <w:bidi w:val="0"/>
        <w:adjustRightInd/>
        <w:spacing w:after="0" w:line="576" w:lineRule="exact"/>
        <w:jc w:val="both"/>
        <w:textAlignment w:val="auto"/>
        <w:outlineLvl w:val="0"/>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考核标准：</w:t>
      </w:r>
    </w:p>
    <w:tbl>
      <w:tblPr>
        <w:tblStyle w:val="5"/>
        <w:tblW w:w="84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6"/>
        <w:gridCol w:w="580"/>
        <w:gridCol w:w="1419"/>
        <w:gridCol w:w="1078"/>
        <w:gridCol w:w="3925"/>
        <w:gridCol w:w="700"/>
      </w:tblGrid>
      <w:tr w14:paraId="7731F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57AC">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9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F517A">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考核指标</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0D1B0">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分值</w:t>
            </w:r>
          </w:p>
        </w:tc>
        <w:tc>
          <w:tcPr>
            <w:tcW w:w="39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6D3ED">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评分细则</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58131">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得分</w:t>
            </w:r>
          </w:p>
        </w:tc>
      </w:tr>
      <w:tr w14:paraId="37101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7964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C4640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项目管理</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7289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项目实施计划</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D665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17A1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无故延误报送项目实施计划超</w:t>
            </w:r>
            <w:r>
              <w:rPr>
                <w:rStyle w:val="7"/>
                <w:rFonts w:hint="eastAsia" w:ascii="仿宋" w:hAnsi="仿宋" w:eastAsia="仿宋" w:cs="仿宋"/>
                <w:sz w:val="24"/>
                <w:szCs w:val="24"/>
                <w:highlight w:val="none"/>
                <w:lang w:val="en-US" w:eastAsia="zh-CN" w:bidi="ar"/>
              </w:rPr>
              <w:t>1</w:t>
            </w:r>
            <w:r>
              <w:rPr>
                <w:rStyle w:val="8"/>
                <w:rFonts w:hint="eastAsia" w:ascii="仿宋" w:hAnsi="仿宋" w:eastAsia="仿宋" w:cs="仿宋"/>
                <w:sz w:val="24"/>
                <w:szCs w:val="24"/>
                <w:highlight w:val="none"/>
                <w:lang w:val="en-US" w:eastAsia="zh-CN" w:bidi="ar"/>
              </w:rPr>
              <w:t>工作日，扣</w:t>
            </w:r>
            <w:r>
              <w:rPr>
                <w:rStyle w:val="7"/>
                <w:rFonts w:hint="eastAsia" w:ascii="仿宋" w:hAnsi="仿宋" w:eastAsia="仿宋" w:cs="仿宋"/>
                <w:sz w:val="24"/>
                <w:szCs w:val="24"/>
                <w:highlight w:val="none"/>
                <w:lang w:val="en-US" w:eastAsia="zh-CN" w:bidi="ar"/>
              </w:rPr>
              <w:t>6</w:t>
            </w:r>
            <w:r>
              <w:rPr>
                <w:rStyle w:val="8"/>
                <w:rFonts w:hint="eastAsia" w:ascii="仿宋" w:hAnsi="仿宋" w:eastAsia="仿宋" w:cs="仿宋"/>
                <w:sz w:val="24"/>
                <w:szCs w:val="24"/>
                <w:highlight w:val="none"/>
                <w:lang w:val="en-US" w:eastAsia="zh-CN" w:bidi="ar"/>
              </w:rPr>
              <w:t>分。</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C728">
            <w:pPr>
              <w:jc w:val="center"/>
              <w:rPr>
                <w:rFonts w:hint="eastAsia" w:ascii="仿宋" w:hAnsi="仿宋" w:eastAsia="仿宋" w:cs="仿宋"/>
                <w:i w:val="0"/>
                <w:iCs w:val="0"/>
                <w:color w:val="000000"/>
                <w:sz w:val="24"/>
                <w:szCs w:val="24"/>
                <w:highlight w:val="none"/>
                <w:u w:val="none"/>
              </w:rPr>
            </w:pPr>
          </w:p>
        </w:tc>
      </w:tr>
      <w:tr w14:paraId="44A5A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A887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A7658">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08DB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项目周报</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FF42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DCB6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缺失或无故延误报送周报超</w:t>
            </w:r>
            <w:r>
              <w:rPr>
                <w:rStyle w:val="7"/>
                <w:rFonts w:hint="eastAsia" w:ascii="仿宋" w:hAnsi="仿宋" w:eastAsia="仿宋" w:cs="仿宋"/>
                <w:sz w:val="24"/>
                <w:szCs w:val="24"/>
                <w:highlight w:val="none"/>
                <w:lang w:val="en-US" w:eastAsia="zh-CN" w:bidi="ar"/>
              </w:rPr>
              <w:t>2</w:t>
            </w:r>
            <w:r>
              <w:rPr>
                <w:rStyle w:val="8"/>
                <w:rFonts w:hint="eastAsia" w:ascii="仿宋" w:hAnsi="仿宋" w:eastAsia="仿宋" w:cs="仿宋"/>
                <w:sz w:val="24"/>
                <w:szCs w:val="24"/>
                <w:highlight w:val="none"/>
                <w:lang w:val="en-US" w:eastAsia="zh-CN" w:bidi="ar"/>
              </w:rPr>
              <w:t>工作日，每次扣</w:t>
            </w:r>
            <w:r>
              <w:rPr>
                <w:rStyle w:val="7"/>
                <w:rFonts w:hint="eastAsia" w:ascii="仿宋" w:hAnsi="仿宋" w:eastAsia="仿宋" w:cs="仿宋"/>
                <w:sz w:val="24"/>
                <w:szCs w:val="24"/>
                <w:highlight w:val="none"/>
                <w:lang w:val="en-US" w:eastAsia="zh-CN" w:bidi="ar"/>
              </w:rPr>
              <w:t>0.5</w:t>
            </w:r>
            <w:r>
              <w:rPr>
                <w:rStyle w:val="8"/>
                <w:rFonts w:hint="eastAsia" w:ascii="仿宋" w:hAnsi="仿宋" w:eastAsia="仿宋" w:cs="仿宋"/>
                <w:sz w:val="24"/>
                <w:szCs w:val="24"/>
                <w:highlight w:val="none"/>
                <w:lang w:val="en-US" w:eastAsia="zh-CN" w:bidi="ar"/>
              </w:rPr>
              <w:t>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9FE0D">
            <w:pPr>
              <w:jc w:val="center"/>
              <w:rPr>
                <w:rFonts w:hint="eastAsia" w:ascii="仿宋" w:hAnsi="仿宋" w:eastAsia="仿宋" w:cs="仿宋"/>
                <w:i w:val="0"/>
                <w:iCs w:val="0"/>
                <w:color w:val="000000"/>
                <w:sz w:val="24"/>
                <w:szCs w:val="24"/>
                <w:highlight w:val="none"/>
                <w:u w:val="none"/>
              </w:rPr>
            </w:pPr>
          </w:p>
        </w:tc>
      </w:tr>
      <w:tr w14:paraId="77282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8"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85D0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2B13F">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90A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项目月报</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0A4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D66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缺失或无故延误报送月报超</w:t>
            </w:r>
            <w:r>
              <w:rPr>
                <w:rStyle w:val="7"/>
                <w:rFonts w:hint="eastAsia" w:ascii="仿宋" w:hAnsi="仿宋" w:eastAsia="仿宋" w:cs="仿宋"/>
                <w:sz w:val="24"/>
                <w:szCs w:val="24"/>
                <w:highlight w:val="none"/>
                <w:lang w:val="en-US" w:eastAsia="zh-CN" w:bidi="ar"/>
              </w:rPr>
              <w:t>3</w:t>
            </w:r>
            <w:r>
              <w:rPr>
                <w:rStyle w:val="8"/>
                <w:rFonts w:hint="eastAsia" w:ascii="仿宋" w:hAnsi="仿宋" w:eastAsia="仿宋" w:cs="仿宋"/>
                <w:sz w:val="24"/>
                <w:szCs w:val="24"/>
                <w:highlight w:val="none"/>
                <w:lang w:val="en-US" w:eastAsia="zh-CN" w:bidi="ar"/>
              </w:rPr>
              <w:t>工作日，每次扣</w:t>
            </w:r>
            <w:r>
              <w:rPr>
                <w:rStyle w:val="7"/>
                <w:rFonts w:hint="eastAsia" w:ascii="仿宋" w:hAnsi="仿宋" w:eastAsia="仿宋" w:cs="仿宋"/>
                <w:sz w:val="24"/>
                <w:szCs w:val="24"/>
                <w:highlight w:val="none"/>
                <w:lang w:val="en-US" w:eastAsia="zh-CN" w:bidi="ar"/>
              </w:rPr>
              <w:t>1</w:t>
            </w:r>
            <w:r>
              <w:rPr>
                <w:rStyle w:val="8"/>
                <w:rFonts w:hint="eastAsia" w:ascii="仿宋" w:hAnsi="仿宋" w:eastAsia="仿宋" w:cs="仿宋"/>
                <w:sz w:val="24"/>
                <w:szCs w:val="24"/>
                <w:highlight w:val="none"/>
                <w:lang w:val="en-US" w:eastAsia="zh-CN" w:bidi="ar"/>
              </w:rPr>
              <w:t>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DFC5">
            <w:pPr>
              <w:jc w:val="center"/>
              <w:rPr>
                <w:rFonts w:hint="eastAsia" w:ascii="仿宋" w:hAnsi="仿宋" w:eastAsia="仿宋" w:cs="仿宋"/>
                <w:i w:val="0"/>
                <w:iCs w:val="0"/>
                <w:color w:val="000000"/>
                <w:sz w:val="24"/>
                <w:szCs w:val="24"/>
                <w:highlight w:val="none"/>
                <w:u w:val="none"/>
              </w:rPr>
            </w:pPr>
          </w:p>
        </w:tc>
      </w:tr>
      <w:tr w14:paraId="6D0FE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7"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9824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4</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AC09A">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7B0E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项目经理对于项目的掌握情况</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C9E2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153B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不掌握情况或错误情况，</w:t>
            </w:r>
            <w:r>
              <w:rPr>
                <w:rStyle w:val="7"/>
                <w:rFonts w:hint="eastAsia" w:ascii="仿宋" w:hAnsi="仿宋" w:eastAsia="仿宋" w:cs="仿宋"/>
                <w:sz w:val="24"/>
                <w:szCs w:val="24"/>
                <w:highlight w:val="none"/>
                <w:lang w:val="en-US" w:eastAsia="zh-CN" w:bidi="ar"/>
              </w:rPr>
              <w:t>1</w:t>
            </w:r>
            <w:r>
              <w:rPr>
                <w:rStyle w:val="8"/>
                <w:rFonts w:hint="eastAsia" w:ascii="仿宋" w:hAnsi="仿宋" w:eastAsia="仿宋" w:cs="仿宋"/>
                <w:sz w:val="24"/>
                <w:szCs w:val="24"/>
                <w:highlight w:val="none"/>
                <w:lang w:val="en-US" w:eastAsia="zh-CN" w:bidi="ar"/>
              </w:rPr>
              <w:t>次扣</w:t>
            </w:r>
            <w:r>
              <w:rPr>
                <w:rStyle w:val="7"/>
                <w:rFonts w:hint="eastAsia" w:ascii="仿宋" w:hAnsi="仿宋" w:eastAsia="仿宋" w:cs="仿宋"/>
                <w:sz w:val="24"/>
                <w:szCs w:val="24"/>
                <w:highlight w:val="none"/>
                <w:lang w:val="en-US" w:eastAsia="zh-CN" w:bidi="ar"/>
              </w:rPr>
              <w:t>1</w:t>
            </w:r>
            <w:r>
              <w:rPr>
                <w:rStyle w:val="8"/>
                <w:rFonts w:hint="eastAsia" w:ascii="仿宋" w:hAnsi="仿宋" w:eastAsia="仿宋" w:cs="仿宋"/>
                <w:sz w:val="24"/>
                <w:szCs w:val="24"/>
                <w:highlight w:val="none"/>
                <w:lang w:val="en-US" w:eastAsia="zh-CN" w:bidi="ar"/>
              </w:rPr>
              <w:t>分，累计</w:t>
            </w:r>
            <w:r>
              <w:rPr>
                <w:rStyle w:val="7"/>
                <w:rFonts w:hint="eastAsia" w:ascii="仿宋" w:hAnsi="仿宋" w:eastAsia="仿宋" w:cs="仿宋"/>
                <w:sz w:val="24"/>
                <w:szCs w:val="24"/>
                <w:highlight w:val="none"/>
                <w:lang w:val="en-US" w:eastAsia="zh-CN" w:bidi="ar"/>
              </w:rPr>
              <w:t>2</w:t>
            </w:r>
            <w:r>
              <w:rPr>
                <w:rStyle w:val="8"/>
                <w:rFonts w:hint="eastAsia" w:ascii="仿宋" w:hAnsi="仿宋" w:eastAsia="仿宋" w:cs="仿宋"/>
                <w:sz w:val="24"/>
                <w:szCs w:val="24"/>
                <w:highlight w:val="none"/>
                <w:lang w:val="en-US" w:eastAsia="zh-CN" w:bidi="ar"/>
              </w:rPr>
              <w:t>次扣</w:t>
            </w:r>
            <w:r>
              <w:rPr>
                <w:rStyle w:val="7"/>
                <w:rFonts w:hint="eastAsia" w:ascii="仿宋" w:hAnsi="仿宋" w:eastAsia="仿宋" w:cs="仿宋"/>
                <w:sz w:val="24"/>
                <w:szCs w:val="24"/>
                <w:highlight w:val="none"/>
                <w:lang w:val="en-US" w:eastAsia="zh-CN" w:bidi="ar"/>
              </w:rPr>
              <w:t>4</w:t>
            </w:r>
            <w:r>
              <w:rPr>
                <w:rStyle w:val="8"/>
                <w:rFonts w:hint="eastAsia" w:ascii="仿宋" w:hAnsi="仿宋" w:eastAsia="仿宋" w:cs="仿宋"/>
                <w:sz w:val="24"/>
                <w:szCs w:val="24"/>
                <w:highlight w:val="none"/>
                <w:lang w:val="en-US" w:eastAsia="zh-CN" w:bidi="ar"/>
              </w:rPr>
              <w:t>分，累计</w:t>
            </w:r>
            <w:r>
              <w:rPr>
                <w:rStyle w:val="7"/>
                <w:rFonts w:hint="eastAsia" w:ascii="仿宋" w:hAnsi="仿宋" w:eastAsia="仿宋" w:cs="仿宋"/>
                <w:sz w:val="24"/>
                <w:szCs w:val="24"/>
                <w:highlight w:val="none"/>
                <w:lang w:val="en-US" w:eastAsia="zh-CN" w:bidi="ar"/>
              </w:rPr>
              <w:t>3</w:t>
            </w:r>
            <w:r>
              <w:rPr>
                <w:rStyle w:val="8"/>
                <w:rFonts w:hint="eastAsia" w:ascii="仿宋" w:hAnsi="仿宋" w:eastAsia="仿宋" w:cs="仿宋"/>
                <w:sz w:val="24"/>
                <w:szCs w:val="24"/>
                <w:highlight w:val="none"/>
                <w:lang w:val="en-US" w:eastAsia="zh-CN" w:bidi="ar"/>
              </w:rPr>
              <w:t>次扣</w:t>
            </w:r>
            <w:r>
              <w:rPr>
                <w:rStyle w:val="7"/>
                <w:rFonts w:hint="eastAsia" w:ascii="仿宋" w:hAnsi="仿宋" w:eastAsia="仿宋" w:cs="仿宋"/>
                <w:sz w:val="24"/>
                <w:szCs w:val="24"/>
                <w:highlight w:val="none"/>
                <w:lang w:val="en-US" w:eastAsia="zh-CN" w:bidi="ar"/>
              </w:rPr>
              <w:t>6</w:t>
            </w:r>
            <w:r>
              <w:rPr>
                <w:rStyle w:val="8"/>
                <w:rFonts w:hint="eastAsia" w:ascii="仿宋" w:hAnsi="仿宋" w:eastAsia="仿宋" w:cs="仿宋"/>
                <w:sz w:val="24"/>
                <w:szCs w:val="24"/>
                <w:highlight w:val="none"/>
                <w:lang w:val="en-US" w:eastAsia="zh-CN" w:bidi="ar"/>
              </w:rPr>
              <w:t>分且甲方有权要求更换项目经理。</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37E2B">
            <w:pPr>
              <w:jc w:val="center"/>
              <w:rPr>
                <w:rFonts w:hint="eastAsia" w:ascii="仿宋" w:hAnsi="仿宋" w:eastAsia="仿宋" w:cs="仿宋"/>
                <w:i w:val="0"/>
                <w:iCs w:val="0"/>
                <w:color w:val="000000"/>
                <w:sz w:val="24"/>
                <w:szCs w:val="24"/>
                <w:highlight w:val="none"/>
                <w:u w:val="none"/>
              </w:rPr>
            </w:pPr>
          </w:p>
        </w:tc>
      </w:tr>
      <w:tr w14:paraId="42772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5FF2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55A5B">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CF19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项目台账</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5C96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21B1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项目台账不完整或与实际不相符扣</w:t>
            </w:r>
            <w:r>
              <w:rPr>
                <w:rStyle w:val="9"/>
                <w:rFonts w:hint="eastAsia" w:ascii="仿宋" w:hAnsi="仿宋" w:eastAsia="仿宋" w:cs="仿宋"/>
                <w:sz w:val="24"/>
                <w:szCs w:val="24"/>
                <w:highlight w:val="none"/>
                <w:lang w:val="en-US" w:eastAsia="zh-CN" w:bidi="ar"/>
              </w:rPr>
              <w:t>，每项扣</w:t>
            </w:r>
            <w:r>
              <w:rPr>
                <w:rStyle w:val="8"/>
                <w:rFonts w:hint="eastAsia" w:ascii="仿宋" w:hAnsi="仿宋" w:eastAsia="仿宋" w:cs="仿宋"/>
                <w:sz w:val="24"/>
                <w:szCs w:val="24"/>
                <w:highlight w:val="none"/>
                <w:lang w:val="en-US" w:eastAsia="zh-CN" w:bidi="ar"/>
              </w:rPr>
              <w:t>1</w:t>
            </w:r>
            <w:r>
              <w:rPr>
                <w:rStyle w:val="9"/>
                <w:rFonts w:hint="eastAsia" w:ascii="仿宋" w:hAnsi="仿宋" w:eastAsia="仿宋" w:cs="仿宋"/>
                <w:sz w:val="24"/>
                <w:szCs w:val="24"/>
                <w:highlight w:val="none"/>
                <w:lang w:val="en-US" w:eastAsia="zh-CN" w:bidi="ar"/>
              </w:rPr>
              <w:t>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51B7D">
            <w:pPr>
              <w:jc w:val="center"/>
              <w:rPr>
                <w:rFonts w:hint="eastAsia" w:ascii="仿宋" w:hAnsi="仿宋" w:eastAsia="仿宋" w:cs="仿宋"/>
                <w:i w:val="0"/>
                <w:iCs w:val="0"/>
                <w:color w:val="000000"/>
                <w:sz w:val="24"/>
                <w:szCs w:val="24"/>
                <w:highlight w:val="none"/>
                <w:u w:val="none"/>
              </w:rPr>
            </w:pPr>
          </w:p>
        </w:tc>
      </w:tr>
      <w:tr w14:paraId="487FC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B42C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D4CD6">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3CA1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项目进度执行</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5C34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10</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6721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项目进度无故未达到工作计划，每项扣</w:t>
            </w:r>
            <w:r>
              <w:rPr>
                <w:rStyle w:val="7"/>
                <w:rFonts w:hint="eastAsia" w:ascii="仿宋" w:hAnsi="仿宋" w:eastAsia="仿宋" w:cs="仿宋"/>
                <w:sz w:val="24"/>
                <w:szCs w:val="24"/>
                <w:highlight w:val="none"/>
                <w:lang w:val="en-US" w:eastAsia="zh-CN" w:bidi="ar"/>
              </w:rPr>
              <w:t>2</w:t>
            </w:r>
            <w:r>
              <w:rPr>
                <w:rStyle w:val="8"/>
                <w:rFonts w:hint="eastAsia" w:ascii="仿宋" w:hAnsi="仿宋" w:eastAsia="仿宋" w:cs="仿宋"/>
                <w:sz w:val="24"/>
                <w:szCs w:val="24"/>
                <w:highlight w:val="none"/>
                <w:lang w:val="en-US" w:eastAsia="zh-CN" w:bidi="ar"/>
              </w:rPr>
              <w:t>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5762E">
            <w:pPr>
              <w:jc w:val="center"/>
              <w:rPr>
                <w:rFonts w:hint="eastAsia" w:ascii="仿宋" w:hAnsi="仿宋" w:eastAsia="仿宋" w:cs="仿宋"/>
                <w:i w:val="0"/>
                <w:iCs w:val="0"/>
                <w:color w:val="000000"/>
                <w:sz w:val="24"/>
                <w:szCs w:val="24"/>
                <w:highlight w:val="none"/>
                <w:u w:val="none"/>
              </w:rPr>
            </w:pPr>
          </w:p>
        </w:tc>
      </w:tr>
      <w:tr w14:paraId="5D792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7"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D311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7</w:t>
            </w:r>
          </w:p>
        </w:tc>
        <w:tc>
          <w:tcPr>
            <w:tcW w:w="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2E35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测评质量</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67EF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测评人员</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9815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C6AE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测评人员具备相应资质，得6分；存在无资质人员参与测评情况，每人次扣 2 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661C2">
            <w:pPr>
              <w:jc w:val="center"/>
              <w:rPr>
                <w:rFonts w:hint="eastAsia" w:ascii="仿宋" w:hAnsi="仿宋" w:eastAsia="仿宋" w:cs="仿宋"/>
                <w:i w:val="0"/>
                <w:iCs w:val="0"/>
                <w:color w:val="000000"/>
                <w:sz w:val="24"/>
                <w:szCs w:val="24"/>
                <w:highlight w:val="none"/>
                <w:u w:val="none"/>
              </w:rPr>
            </w:pPr>
          </w:p>
        </w:tc>
      </w:tr>
      <w:tr w14:paraId="13518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3"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7C51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8</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80A5B">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7674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测评操作规范性</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718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E5AF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测评人员严格按照测评方案和相关标准开展现场测评工作，操作规范，无违规操作，得5分；出现一次违规操作，扣1分，扣完为止。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0F6F0">
            <w:pPr>
              <w:jc w:val="center"/>
              <w:rPr>
                <w:rFonts w:hint="eastAsia" w:ascii="仿宋" w:hAnsi="仿宋" w:eastAsia="仿宋" w:cs="仿宋"/>
                <w:i w:val="0"/>
                <w:iCs w:val="0"/>
                <w:color w:val="000000"/>
                <w:sz w:val="24"/>
                <w:szCs w:val="24"/>
                <w:highlight w:val="none"/>
                <w:u w:val="none"/>
              </w:rPr>
            </w:pPr>
          </w:p>
        </w:tc>
      </w:tr>
      <w:tr w14:paraId="6DD6C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7"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859E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9</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7AEAA">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E6B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测评数据准确性</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3115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36F3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现场测评数据采集完整、准确，得5分；数据存在缺失或错误，每项扣1分，扣完为止。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43E31">
            <w:pPr>
              <w:jc w:val="center"/>
              <w:rPr>
                <w:rFonts w:hint="eastAsia" w:ascii="仿宋" w:hAnsi="仿宋" w:eastAsia="仿宋" w:cs="仿宋"/>
                <w:i w:val="0"/>
                <w:iCs w:val="0"/>
                <w:color w:val="000000"/>
                <w:sz w:val="24"/>
                <w:szCs w:val="24"/>
                <w:highlight w:val="none"/>
                <w:u w:val="none"/>
              </w:rPr>
            </w:pPr>
          </w:p>
        </w:tc>
      </w:tr>
      <w:tr w14:paraId="1EAB0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857B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10</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5C56A">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993F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测评报告完整性</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C9B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55C7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测评报告内容完整，包括项目概述、测评依据、测评方法、测评结果、风险分析、整改建议等，得5分；存在内容缺失，每项扣1分，扣完为止。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ECEE">
            <w:pPr>
              <w:jc w:val="center"/>
              <w:rPr>
                <w:rFonts w:hint="eastAsia" w:ascii="仿宋" w:hAnsi="仿宋" w:eastAsia="仿宋" w:cs="仿宋"/>
                <w:i w:val="0"/>
                <w:iCs w:val="0"/>
                <w:color w:val="000000"/>
                <w:sz w:val="24"/>
                <w:szCs w:val="24"/>
                <w:highlight w:val="none"/>
                <w:u w:val="none"/>
              </w:rPr>
            </w:pPr>
          </w:p>
        </w:tc>
      </w:tr>
      <w:tr w14:paraId="6B1C6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E5A5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11</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705233">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8E17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测评报告准确性</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4C92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4524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测评报告逻辑清晰，语言表达准确、规范，无错别字和语法错误，得5分；逻辑混乱、表达不清或存在错别字、语法错误，每处扣0.5分，扣完为止。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4C9C5">
            <w:pPr>
              <w:jc w:val="center"/>
              <w:rPr>
                <w:rFonts w:hint="eastAsia" w:ascii="仿宋" w:hAnsi="仿宋" w:eastAsia="仿宋" w:cs="仿宋"/>
                <w:i w:val="0"/>
                <w:iCs w:val="0"/>
                <w:color w:val="000000"/>
                <w:sz w:val="24"/>
                <w:szCs w:val="24"/>
                <w:highlight w:val="none"/>
                <w:u w:val="none"/>
              </w:rPr>
            </w:pPr>
          </w:p>
        </w:tc>
      </w:tr>
      <w:tr w14:paraId="62903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C14E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12</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1A033">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D585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测评备案</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FCD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E4C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未及时完成备案工作超过3个工作日，每次扣1分，扣完为止。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56866">
            <w:pPr>
              <w:jc w:val="center"/>
              <w:rPr>
                <w:rFonts w:hint="eastAsia" w:ascii="仿宋" w:hAnsi="仿宋" w:eastAsia="仿宋" w:cs="仿宋"/>
                <w:i w:val="0"/>
                <w:iCs w:val="0"/>
                <w:color w:val="000000"/>
                <w:sz w:val="24"/>
                <w:szCs w:val="24"/>
                <w:highlight w:val="none"/>
                <w:u w:val="none"/>
              </w:rPr>
            </w:pPr>
          </w:p>
        </w:tc>
      </w:tr>
      <w:tr w14:paraId="26754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7"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4BF6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13</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07648">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55B8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信息安全</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F33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10</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CB77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测评过程中严格遵守信息安全规定，未发生客户信息泄露等安全事件，得10分；发生一次信息安全事件，扣5分。</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4DDB">
            <w:pPr>
              <w:jc w:val="center"/>
              <w:rPr>
                <w:rFonts w:hint="eastAsia" w:ascii="仿宋" w:hAnsi="仿宋" w:eastAsia="仿宋" w:cs="仿宋"/>
                <w:i w:val="0"/>
                <w:iCs w:val="0"/>
                <w:color w:val="000000"/>
                <w:sz w:val="24"/>
                <w:szCs w:val="24"/>
                <w:highlight w:val="none"/>
                <w:u w:val="none"/>
              </w:rPr>
            </w:pPr>
          </w:p>
        </w:tc>
      </w:tr>
      <w:tr w14:paraId="73FB2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5"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B2D5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14</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6985B">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E4C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测评整改情况</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E304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2A75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定期向客户反馈整改情况，督促客户完成整改，得5分；未及时反馈或督促不力，每次扣1分，扣完为止。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E6A86">
            <w:pPr>
              <w:jc w:val="center"/>
              <w:rPr>
                <w:rFonts w:hint="eastAsia" w:ascii="仿宋" w:hAnsi="仿宋" w:eastAsia="仿宋" w:cs="仿宋"/>
                <w:i w:val="0"/>
                <w:iCs w:val="0"/>
                <w:color w:val="000000"/>
                <w:sz w:val="24"/>
                <w:szCs w:val="24"/>
                <w:highlight w:val="none"/>
                <w:u w:val="none"/>
              </w:rPr>
            </w:pPr>
          </w:p>
        </w:tc>
      </w:tr>
      <w:tr w14:paraId="25E29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0"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BBAC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15</w:t>
            </w:r>
          </w:p>
        </w:tc>
        <w:tc>
          <w:tcPr>
            <w:tcW w:w="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371D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服务质量</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6B1C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服务响应</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5AF9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0559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乙方项目经理以及项目商务人员需至少保障</w:t>
            </w:r>
            <w:r>
              <w:rPr>
                <w:rStyle w:val="7"/>
                <w:rFonts w:hint="eastAsia" w:ascii="仿宋" w:hAnsi="仿宋" w:eastAsia="仿宋" w:cs="仿宋"/>
                <w:sz w:val="24"/>
                <w:szCs w:val="24"/>
                <w:highlight w:val="none"/>
                <w:lang w:val="en-US" w:eastAsia="zh-CN" w:bidi="ar"/>
              </w:rPr>
              <w:t>1</w:t>
            </w:r>
            <w:r>
              <w:rPr>
                <w:rStyle w:val="8"/>
                <w:rFonts w:hint="eastAsia" w:ascii="仿宋" w:hAnsi="仿宋" w:eastAsia="仿宋" w:cs="仿宋"/>
                <w:sz w:val="24"/>
                <w:szCs w:val="24"/>
                <w:highlight w:val="none"/>
                <w:lang w:val="en-US" w:eastAsia="zh-CN" w:bidi="ar"/>
              </w:rPr>
              <w:t>人电话</w:t>
            </w:r>
            <w:r>
              <w:rPr>
                <w:rStyle w:val="7"/>
                <w:rFonts w:hint="eastAsia" w:ascii="仿宋" w:hAnsi="仿宋" w:eastAsia="仿宋" w:cs="仿宋"/>
                <w:sz w:val="24"/>
                <w:szCs w:val="24"/>
                <w:highlight w:val="none"/>
                <w:lang w:val="en-US" w:eastAsia="zh-CN" w:bidi="ar"/>
              </w:rPr>
              <w:t>7*8</w:t>
            </w:r>
            <w:r>
              <w:rPr>
                <w:rStyle w:val="8"/>
                <w:rFonts w:hint="eastAsia" w:ascii="仿宋" w:hAnsi="仿宋" w:eastAsia="仿宋" w:cs="仿宋"/>
                <w:sz w:val="24"/>
                <w:szCs w:val="24"/>
                <w:highlight w:val="none"/>
                <w:lang w:val="en-US" w:eastAsia="zh-CN" w:bidi="ar"/>
              </w:rPr>
              <w:t>小时开机，确保发生紧急事件能够得到及时响应，若发现无法联系的情形，每发生</w:t>
            </w:r>
            <w:r>
              <w:rPr>
                <w:rStyle w:val="7"/>
                <w:rFonts w:hint="eastAsia" w:ascii="仿宋" w:hAnsi="仿宋" w:eastAsia="仿宋" w:cs="仿宋"/>
                <w:sz w:val="24"/>
                <w:szCs w:val="24"/>
                <w:highlight w:val="none"/>
                <w:lang w:val="en-US" w:eastAsia="zh-CN" w:bidi="ar"/>
              </w:rPr>
              <w:t>1</w:t>
            </w:r>
            <w:r>
              <w:rPr>
                <w:rStyle w:val="8"/>
                <w:rFonts w:hint="eastAsia" w:ascii="仿宋" w:hAnsi="仿宋" w:eastAsia="仿宋" w:cs="仿宋"/>
                <w:sz w:val="24"/>
                <w:szCs w:val="24"/>
                <w:highlight w:val="none"/>
                <w:lang w:val="en-US" w:eastAsia="zh-CN" w:bidi="ar"/>
              </w:rPr>
              <w:t>次扣</w:t>
            </w:r>
            <w:r>
              <w:rPr>
                <w:rStyle w:val="7"/>
                <w:rFonts w:hint="eastAsia" w:ascii="仿宋" w:hAnsi="仿宋" w:eastAsia="仿宋" w:cs="仿宋"/>
                <w:sz w:val="24"/>
                <w:szCs w:val="24"/>
                <w:highlight w:val="none"/>
                <w:lang w:val="en-US" w:eastAsia="zh-CN" w:bidi="ar"/>
              </w:rPr>
              <w:t>1</w:t>
            </w:r>
            <w:r>
              <w:rPr>
                <w:rStyle w:val="8"/>
                <w:rFonts w:hint="eastAsia" w:ascii="仿宋" w:hAnsi="仿宋" w:eastAsia="仿宋" w:cs="仿宋"/>
                <w:sz w:val="24"/>
                <w:szCs w:val="24"/>
                <w:highlight w:val="none"/>
                <w:lang w:val="en-US" w:eastAsia="zh-CN" w:bidi="ar"/>
              </w:rPr>
              <w:t>分；对监理发起的督办单、通知单未按要求响应回复，每发生</w:t>
            </w:r>
            <w:r>
              <w:rPr>
                <w:rStyle w:val="7"/>
                <w:rFonts w:hint="eastAsia" w:ascii="仿宋" w:hAnsi="仿宋" w:eastAsia="仿宋" w:cs="仿宋"/>
                <w:sz w:val="24"/>
                <w:szCs w:val="24"/>
                <w:highlight w:val="none"/>
                <w:lang w:val="en-US" w:eastAsia="zh-CN" w:bidi="ar"/>
              </w:rPr>
              <w:t>1</w:t>
            </w:r>
            <w:r>
              <w:rPr>
                <w:rStyle w:val="8"/>
                <w:rFonts w:hint="eastAsia" w:ascii="仿宋" w:hAnsi="仿宋" w:eastAsia="仿宋" w:cs="仿宋"/>
                <w:sz w:val="24"/>
                <w:szCs w:val="24"/>
                <w:highlight w:val="none"/>
                <w:lang w:val="en-US" w:eastAsia="zh-CN" w:bidi="ar"/>
              </w:rPr>
              <w:t>次扣</w:t>
            </w:r>
            <w:r>
              <w:rPr>
                <w:rStyle w:val="7"/>
                <w:rFonts w:hint="eastAsia" w:ascii="仿宋" w:hAnsi="仿宋" w:eastAsia="仿宋" w:cs="仿宋"/>
                <w:sz w:val="24"/>
                <w:szCs w:val="24"/>
                <w:highlight w:val="none"/>
                <w:lang w:val="en-US" w:eastAsia="zh-CN" w:bidi="ar"/>
              </w:rPr>
              <w:t>2</w:t>
            </w:r>
            <w:r>
              <w:rPr>
                <w:rStyle w:val="8"/>
                <w:rFonts w:hint="eastAsia" w:ascii="仿宋" w:hAnsi="仿宋" w:eastAsia="仿宋" w:cs="仿宋"/>
                <w:sz w:val="24"/>
                <w:szCs w:val="24"/>
                <w:highlight w:val="none"/>
                <w:lang w:val="en-US" w:eastAsia="zh-CN" w:bidi="ar"/>
              </w:rPr>
              <w:t>分</w:t>
            </w:r>
            <w:r>
              <w:rPr>
                <w:rFonts w:hint="eastAsia" w:ascii="仿宋" w:hAnsi="仿宋" w:eastAsia="仿宋" w:cs="仿宋"/>
                <w:i w:val="0"/>
                <w:iCs w:val="0"/>
                <w:color w:val="000000"/>
                <w:kern w:val="0"/>
                <w:sz w:val="24"/>
                <w:szCs w:val="24"/>
                <w:highlight w:val="none"/>
                <w:u w:val="none"/>
                <w:lang w:val="en-US" w:eastAsia="zh-CN" w:bidi="ar"/>
              </w:rPr>
              <w:t>，扣完为止。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BFB6D">
            <w:pPr>
              <w:jc w:val="center"/>
              <w:rPr>
                <w:rFonts w:hint="eastAsia" w:ascii="仿宋" w:hAnsi="仿宋" w:eastAsia="仿宋" w:cs="仿宋"/>
                <w:i w:val="0"/>
                <w:iCs w:val="0"/>
                <w:color w:val="000000"/>
                <w:sz w:val="24"/>
                <w:szCs w:val="24"/>
                <w:highlight w:val="none"/>
                <w:u w:val="none"/>
              </w:rPr>
            </w:pPr>
          </w:p>
        </w:tc>
      </w:tr>
      <w:tr w14:paraId="101BB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9"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1E26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16</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CEC8D">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DFF9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服务评价</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B87F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10</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91B2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lang w:val="en-US"/>
              </w:rPr>
            </w:pPr>
            <w:r>
              <w:rPr>
                <w:rFonts w:hint="eastAsia" w:ascii="仿宋" w:hAnsi="仿宋" w:eastAsia="仿宋" w:cs="仿宋"/>
                <w:i w:val="0"/>
                <w:iCs w:val="0"/>
                <w:color w:val="000000"/>
                <w:kern w:val="0"/>
                <w:sz w:val="24"/>
                <w:szCs w:val="24"/>
                <w:highlight w:val="none"/>
                <w:u w:val="none"/>
                <w:lang w:val="en-US" w:eastAsia="zh-CN" w:bidi="ar"/>
              </w:rPr>
              <w:t xml:space="preserve">按照需求单位出具的满意度调查表进行计分，非常满意计10分，满意计8分，基本满意计6分，不满意或未收到调查表均计 0 分，最终得分取所有应收集满意度调查表的平均值。 </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86813">
            <w:pPr>
              <w:jc w:val="center"/>
              <w:rPr>
                <w:rFonts w:hint="eastAsia" w:ascii="仿宋" w:hAnsi="仿宋" w:eastAsia="仿宋" w:cs="仿宋"/>
                <w:i w:val="0"/>
                <w:iCs w:val="0"/>
                <w:color w:val="000000"/>
                <w:sz w:val="24"/>
                <w:szCs w:val="24"/>
                <w:highlight w:val="none"/>
                <w:u w:val="none"/>
              </w:rPr>
            </w:pPr>
          </w:p>
        </w:tc>
      </w:tr>
      <w:tr w14:paraId="6FF60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7"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B0BD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17</w:t>
            </w: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14CFE">
            <w:pPr>
              <w:jc w:val="center"/>
              <w:rPr>
                <w:rFonts w:hint="eastAsia" w:ascii="仿宋" w:hAnsi="仿宋" w:eastAsia="仿宋" w:cs="仿宋"/>
                <w:i w:val="0"/>
                <w:iCs w:val="0"/>
                <w:color w:val="000000"/>
                <w:sz w:val="24"/>
                <w:szCs w:val="24"/>
                <w:highlight w:val="none"/>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E65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问题解决</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7471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3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A6B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对客户提出的问题及时响应并有效解决，得5分；响应不及时或未有效解决，每次扣1分，扣完为止。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D759C">
            <w:pPr>
              <w:jc w:val="center"/>
              <w:rPr>
                <w:rFonts w:hint="eastAsia" w:ascii="仿宋" w:hAnsi="仿宋" w:eastAsia="仿宋" w:cs="仿宋"/>
                <w:i w:val="0"/>
                <w:iCs w:val="0"/>
                <w:color w:val="000000"/>
                <w:sz w:val="24"/>
                <w:szCs w:val="24"/>
                <w:highlight w:val="none"/>
                <w:u w:val="none"/>
              </w:rPr>
            </w:pPr>
          </w:p>
        </w:tc>
      </w:tr>
      <w:tr w14:paraId="72747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29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40CD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综合考核得分</w:t>
            </w:r>
          </w:p>
        </w:tc>
        <w:tc>
          <w:tcPr>
            <w:tcW w:w="7122"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FC1A5">
            <w:pPr>
              <w:rPr>
                <w:rFonts w:hint="eastAsia" w:ascii="仿宋" w:hAnsi="仿宋" w:eastAsia="仿宋" w:cs="仿宋"/>
                <w:i w:val="0"/>
                <w:iCs w:val="0"/>
                <w:color w:val="000000"/>
                <w:sz w:val="24"/>
                <w:szCs w:val="24"/>
                <w:highlight w:val="none"/>
                <w:u w:val="none"/>
              </w:rPr>
            </w:pPr>
          </w:p>
        </w:tc>
      </w:tr>
    </w:tbl>
    <w:p w14:paraId="5AF474E2">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68D006AD">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附件</w:t>
      </w:r>
    </w:p>
    <w:p w14:paraId="3A91CD31">
      <w:pPr>
        <w:keepNext w:val="0"/>
        <w:keepLines w:val="0"/>
        <w:pageBreakBefore w:val="0"/>
        <w:widowControl/>
        <w:kinsoku/>
        <w:wordWrap/>
        <w:overflowPunct/>
        <w:topLinePunct w:val="0"/>
        <w:autoSpaceDE/>
        <w:autoSpaceDN/>
        <w:bidi w:val="0"/>
        <w:adjustRightInd/>
        <w:snapToGrid/>
        <w:spacing w:after="156" w:line="660" w:lineRule="exact"/>
        <w:jc w:val="center"/>
        <w:textAlignment w:val="auto"/>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2025年西安市市级部门等保测评集采分用</w:t>
      </w:r>
    </w:p>
    <w:p w14:paraId="117752DF">
      <w:pPr>
        <w:keepNext w:val="0"/>
        <w:keepLines w:val="0"/>
        <w:pageBreakBefore w:val="0"/>
        <w:widowControl/>
        <w:kinsoku/>
        <w:wordWrap/>
        <w:overflowPunct/>
        <w:topLinePunct w:val="0"/>
        <w:autoSpaceDE/>
        <w:autoSpaceDN/>
        <w:bidi w:val="0"/>
        <w:adjustRightInd/>
        <w:snapToGrid/>
        <w:spacing w:after="156" w:line="660" w:lineRule="exact"/>
        <w:jc w:val="center"/>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项目满意度</w:t>
      </w:r>
      <w:r>
        <w:rPr>
          <w:rFonts w:hint="eastAsia" w:ascii="仿宋" w:hAnsi="仿宋" w:eastAsia="仿宋" w:cs="仿宋"/>
          <w:kern w:val="0"/>
          <w:sz w:val="24"/>
          <w:szCs w:val="24"/>
          <w:highlight w:val="none"/>
          <w:lang w:val="en-US" w:eastAsia="zh-CN" w:bidi="ar"/>
        </w:rPr>
        <w:t>调查</w:t>
      </w:r>
      <w:r>
        <w:rPr>
          <w:rFonts w:hint="eastAsia" w:ascii="仿宋" w:hAnsi="仿宋" w:eastAsia="仿宋" w:cs="仿宋"/>
          <w:kern w:val="0"/>
          <w:sz w:val="24"/>
          <w:szCs w:val="24"/>
          <w:highlight w:val="none"/>
          <w:lang w:bidi="ar"/>
        </w:rPr>
        <w:t>表</w:t>
      </w:r>
    </w:p>
    <w:tbl>
      <w:tblPr>
        <w:tblStyle w:val="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2819"/>
        <w:gridCol w:w="1707"/>
        <w:gridCol w:w="2837"/>
      </w:tblGrid>
      <w:tr w14:paraId="2326FC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060" w:type="dxa"/>
            <w:gridSpan w:val="4"/>
            <w:vAlign w:val="center"/>
          </w:tcPr>
          <w:p w14:paraId="5F6EA1A5">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基本资料</w:t>
            </w:r>
          </w:p>
        </w:tc>
      </w:tr>
      <w:tr w14:paraId="05C71C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232" w:type="dxa"/>
            <w:vAlign w:val="center"/>
          </w:tcPr>
          <w:p w14:paraId="626F59B7">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7828" w:type="dxa"/>
            <w:gridSpan w:val="3"/>
            <w:vAlign w:val="center"/>
          </w:tcPr>
          <w:p w14:paraId="5FDDA86D">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p>
        </w:tc>
      </w:tr>
      <w:tr w14:paraId="467A95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232" w:type="dxa"/>
            <w:vAlign w:val="center"/>
          </w:tcPr>
          <w:p w14:paraId="57B4AB99">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系统名称</w:t>
            </w:r>
          </w:p>
        </w:tc>
        <w:tc>
          <w:tcPr>
            <w:tcW w:w="7828" w:type="dxa"/>
            <w:gridSpan w:val="3"/>
            <w:vAlign w:val="center"/>
          </w:tcPr>
          <w:p w14:paraId="3AC132F4">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p>
        </w:tc>
      </w:tr>
      <w:tr w14:paraId="5F3289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232" w:type="dxa"/>
            <w:vAlign w:val="center"/>
          </w:tcPr>
          <w:p w14:paraId="1701F61E">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 系 人</w:t>
            </w:r>
          </w:p>
        </w:tc>
        <w:tc>
          <w:tcPr>
            <w:tcW w:w="2997" w:type="dxa"/>
            <w:vAlign w:val="center"/>
          </w:tcPr>
          <w:p w14:paraId="5E38C6EA">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p>
        </w:tc>
        <w:tc>
          <w:tcPr>
            <w:tcW w:w="1815" w:type="dxa"/>
            <w:vAlign w:val="center"/>
          </w:tcPr>
          <w:p w14:paraId="505B3263">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3016" w:type="dxa"/>
            <w:vAlign w:val="center"/>
          </w:tcPr>
          <w:p w14:paraId="29BC0A1C">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p>
        </w:tc>
      </w:tr>
      <w:tr w14:paraId="42B302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232" w:type="dxa"/>
            <w:vAlign w:val="center"/>
          </w:tcPr>
          <w:p w14:paraId="1D51123D">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测评机构</w:t>
            </w:r>
          </w:p>
        </w:tc>
        <w:tc>
          <w:tcPr>
            <w:tcW w:w="2997" w:type="dxa"/>
            <w:vAlign w:val="center"/>
          </w:tcPr>
          <w:p w14:paraId="1F6EF4CA">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p>
        </w:tc>
        <w:tc>
          <w:tcPr>
            <w:tcW w:w="1815" w:type="dxa"/>
            <w:vAlign w:val="center"/>
          </w:tcPr>
          <w:p w14:paraId="79B73B08">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测评负责人</w:t>
            </w:r>
          </w:p>
        </w:tc>
        <w:tc>
          <w:tcPr>
            <w:tcW w:w="3016" w:type="dxa"/>
            <w:vAlign w:val="center"/>
          </w:tcPr>
          <w:p w14:paraId="518BB034">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p>
        </w:tc>
      </w:tr>
      <w:tr w14:paraId="4935EB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060" w:type="dxa"/>
            <w:gridSpan w:val="4"/>
            <w:vAlign w:val="center"/>
          </w:tcPr>
          <w:p w14:paraId="2BD2F4A6">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服务评价</w:t>
            </w:r>
          </w:p>
        </w:tc>
      </w:tr>
      <w:tr w14:paraId="61AF55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1232" w:type="dxa"/>
            <w:vAlign w:val="center"/>
          </w:tcPr>
          <w:p w14:paraId="201587E5">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4812" w:type="dxa"/>
            <w:gridSpan w:val="2"/>
            <w:vAlign w:val="center"/>
          </w:tcPr>
          <w:p w14:paraId="0DBE16A9">
            <w:pPr>
              <w:keepNext w:val="0"/>
              <w:keepLines w:val="0"/>
              <w:pageBreakBefore w:val="0"/>
              <w:widowControl/>
              <w:kinsoku/>
              <w:wordWrap/>
              <w:overflowPunct/>
              <w:topLinePunct w:val="0"/>
              <w:autoSpaceDE/>
              <w:autoSpaceDN/>
              <w:bidi w:val="0"/>
              <w:adjustRightInd/>
              <w:snapToGrid/>
              <w:spacing w:after="156" w:line="24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测评过程中，对于系统测评人员服务</w:t>
            </w:r>
            <w:r>
              <w:rPr>
                <w:rFonts w:hint="eastAsia" w:ascii="仿宋" w:hAnsi="仿宋" w:eastAsia="仿宋" w:cs="仿宋"/>
                <w:sz w:val="24"/>
                <w:szCs w:val="24"/>
                <w:highlight w:val="none"/>
                <w:lang w:val="en-US" w:eastAsia="zh-CN"/>
              </w:rPr>
              <w:t>时效</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专业态度</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流程</w:t>
            </w:r>
            <w:r>
              <w:rPr>
                <w:rFonts w:hint="eastAsia" w:ascii="仿宋" w:hAnsi="仿宋" w:eastAsia="仿宋" w:cs="仿宋"/>
                <w:sz w:val="24"/>
                <w:szCs w:val="24"/>
                <w:highlight w:val="none"/>
              </w:rPr>
              <w:t>规范等整体评价。</w:t>
            </w:r>
          </w:p>
        </w:tc>
        <w:tc>
          <w:tcPr>
            <w:tcW w:w="3016" w:type="dxa"/>
            <w:vAlign w:val="center"/>
          </w:tcPr>
          <w:p w14:paraId="7B451965">
            <w:pPr>
              <w:keepNext w:val="0"/>
              <w:keepLines w:val="0"/>
              <w:pageBreakBefore w:val="0"/>
              <w:widowControl/>
              <w:kinsoku/>
              <w:wordWrap/>
              <w:overflowPunct/>
              <w:topLinePunct w:val="0"/>
              <w:autoSpaceDE/>
              <w:autoSpaceDN/>
              <w:bidi w:val="0"/>
              <w:adjustRightInd/>
              <w:snapToGrid/>
              <w:spacing w:after="0" w:afterLines="0"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满意度：</w:t>
            </w:r>
          </w:p>
          <w:p w14:paraId="3878AA70">
            <w:pPr>
              <w:keepNext w:val="0"/>
              <w:keepLines w:val="0"/>
              <w:pageBreakBefore w:val="0"/>
              <w:widowControl/>
              <w:kinsoku/>
              <w:wordWrap/>
              <w:overflowPunct/>
              <w:topLinePunct w:val="0"/>
              <w:autoSpaceDE/>
              <w:autoSpaceDN/>
              <w:bidi w:val="0"/>
              <w:adjustRightInd/>
              <w:snapToGrid/>
              <w:spacing w:after="0" w:afterLines="0" w:line="24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lang w:val="en-US" w:eastAsia="zh-CN"/>
              </w:rPr>
              <w:t>非常满意</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lang w:val="en-US" w:eastAsia="zh-CN"/>
              </w:rPr>
              <w:t>满意</w:t>
            </w:r>
          </w:p>
          <w:p w14:paraId="4FA863FC">
            <w:pPr>
              <w:keepNext w:val="0"/>
              <w:keepLines w:val="0"/>
              <w:pageBreakBefore w:val="0"/>
              <w:widowControl/>
              <w:kinsoku/>
              <w:wordWrap/>
              <w:overflowPunct/>
              <w:topLinePunct w:val="0"/>
              <w:autoSpaceDE/>
              <w:autoSpaceDN/>
              <w:bidi w:val="0"/>
              <w:adjustRightInd/>
              <w:snapToGrid/>
              <w:spacing w:after="0" w:afterLines="0" w:line="240" w:lineRule="auto"/>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lang w:val="en-US" w:eastAsia="zh-CN"/>
              </w:rPr>
              <w:t xml:space="preserve">基本满意     </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lang w:val="en-US" w:eastAsia="zh-CN"/>
              </w:rPr>
              <w:t>不满意</w:t>
            </w:r>
          </w:p>
        </w:tc>
      </w:tr>
      <w:tr w14:paraId="57925B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32" w:type="dxa"/>
            <w:vAlign w:val="center"/>
          </w:tcPr>
          <w:p w14:paraId="640C44E9">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4812" w:type="dxa"/>
            <w:gridSpan w:val="2"/>
            <w:vAlign w:val="center"/>
          </w:tcPr>
          <w:p w14:paraId="691696FA">
            <w:pPr>
              <w:keepNext w:val="0"/>
              <w:keepLines w:val="0"/>
              <w:pageBreakBefore w:val="0"/>
              <w:widowControl/>
              <w:kinsoku/>
              <w:wordWrap/>
              <w:overflowPunct/>
              <w:topLinePunct w:val="0"/>
              <w:autoSpaceDE/>
              <w:autoSpaceDN/>
              <w:bidi w:val="0"/>
              <w:adjustRightInd/>
              <w:snapToGrid/>
              <w:spacing w:after="0" w:afterLines="0"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是否</w:t>
            </w:r>
            <w:r>
              <w:rPr>
                <w:rFonts w:hint="eastAsia" w:ascii="仿宋" w:hAnsi="仿宋" w:eastAsia="仿宋" w:cs="仿宋"/>
                <w:sz w:val="24"/>
                <w:szCs w:val="24"/>
                <w:highlight w:val="none"/>
              </w:rPr>
              <w:t>遇到</w:t>
            </w:r>
            <w:r>
              <w:rPr>
                <w:rFonts w:hint="eastAsia" w:ascii="仿宋" w:hAnsi="仿宋" w:eastAsia="仿宋" w:cs="仿宋"/>
                <w:sz w:val="24"/>
                <w:szCs w:val="24"/>
                <w:highlight w:val="none"/>
                <w:lang w:val="en-US" w:eastAsia="zh-CN"/>
              </w:rPr>
              <w:t>出现</w:t>
            </w:r>
            <w:r>
              <w:rPr>
                <w:rFonts w:hint="eastAsia" w:ascii="仿宋" w:hAnsi="仿宋" w:eastAsia="仿宋" w:cs="仿宋"/>
                <w:sz w:val="24"/>
                <w:szCs w:val="24"/>
                <w:highlight w:val="none"/>
              </w:rPr>
              <w:t>问题</w:t>
            </w:r>
            <w:r>
              <w:rPr>
                <w:rFonts w:hint="eastAsia" w:ascii="仿宋" w:hAnsi="仿宋" w:eastAsia="仿宋" w:cs="仿宋"/>
                <w:sz w:val="24"/>
                <w:szCs w:val="24"/>
                <w:highlight w:val="none"/>
                <w:lang w:val="en-US" w:eastAsia="zh-CN"/>
              </w:rPr>
              <w:t>未及时响应或解决</w:t>
            </w:r>
            <w:r>
              <w:rPr>
                <w:rFonts w:hint="eastAsia" w:ascii="仿宋" w:hAnsi="仿宋" w:eastAsia="仿宋" w:cs="仿宋"/>
                <w:sz w:val="24"/>
                <w:szCs w:val="24"/>
                <w:highlight w:val="none"/>
              </w:rPr>
              <w:t>？</w:t>
            </w:r>
          </w:p>
        </w:tc>
        <w:tc>
          <w:tcPr>
            <w:tcW w:w="3016" w:type="dxa"/>
            <w:vAlign w:val="center"/>
          </w:tcPr>
          <w:p w14:paraId="5E17B35A">
            <w:pPr>
              <w:keepNext w:val="0"/>
              <w:keepLines w:val="0"/>
              <w:pageBreakBefore w:val="0"/>
              <w:widowControl/>
              <w:kinsoku/>
              <w:wordWrap/>
              <w:overflowPunct/>
              <w:topLinePunct w:val="0"/>
              <w:autoSpaceDE/>
              <w:autoSpaceDN/>
              <w:bidi w:val="0"/>
              <w:adjustRightInd/>
              <w:snapToGrid/>
              <w:spacing w:after="0" w:afterLines="0"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是   </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否</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备注：</w:t>
            </w:r>
            <w:r>
              <w:rPr>
                <w:rFonts w:hint="eastAsia" w:ascii="仿宋" w:hAnsi="仿宋" w:eastAsia="仿宋" w:cs="仿宋"/>
                <w:sz w:val="24"/>
                <w:szCs w:val="24"/>
                <w:highlight w:val="none"/>
                <w:u w:val="single"/>
              </w:rPr>
              <w:t xml:space="preserve">                        </w:t>
            </w:r>
          </w:p>
        </w:tc>
      </w:tr>
      <w:tr w14:paraId="69723B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232" w:type="dxa"/>
            <w:vAlign w:val="center"/>
          </w:tcPr>
          <w:p w14:paraId="203EE69C">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4812" w:type="dxa"/>
            <w:gridSpan w:val="2"/>
            <w:vAlign w:val="center"/>
          </w:tcPr>
          <w:p w14:paraId="4DEE1FD0">
            <w:pPr>
              <w:keepNext w:val="0"/>
              <w:keepLines w:val="0"/>
              <w:pageBreakBefore w:val="0"/>
              <w:widowControl/>
              <w:kinsoku/>
              <w:wordWrap/>
              <w:overflowPunct/>
              <w:topLinePunct w:val="0"/>
              <w:autoSpaceDE/>
              <w:autoSpaceDN/>
              <w:bidi w:val="0"/>
              <w:adjustRightInd/>
              <w:snapToGrid/>
              <w:spacing w:after="0" w:afterLines="0" w:line="24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系统测评机构是否能够提供</w:t>
            </w:r>
            <w:r>
              <w:rPr>
                <w:rFonts w:hint="eastAsia" w:ascii="仿宋" w:hAnsi="仿宋" w:eastAsia="仿宋" w:cs="仿宋"/>
                <w:sz w:val="24"/>
                <w:szCs w:val="24"/>
                <w:highlight w:val="none"/>
                <w:lang w:val="en-US" w:eastAsia="zh-CN"/>
              </w:rPr>
              <w:t>安全</w:t>
            </w:r>
            <w:r>
              <w:rPr>
                <w:rFonts w:hint="eastAsia" w:ascii="仿宋" w:hAnsi="仿宋" w:eastAsia="仿宋" w:cs="仿宋"/>
                <w:sz w:val="24"/>
                <w:szCs w:val="24"/>
                <w:highlight w:val="none"/>
              </w:rPr>
              <w:t>管理</w:t>
            </w:r>
            <w:r>
              <w:rPr>
                <w:rFonts w:hint="eastAsia" w:ascii="仿宋" w:hAnsi="仿宋" w:eastAsia="仿宋" w:cs="仿宋"/>
                <w:sz w:val="24"/>
                <w:szCs w:val="24"/>
                <w:highlight w:val="none"/>
                <w:lang w:val="en-US" w:eastAsia="zh-CN"/>
              </w:rPr>
              <w:t>相关</w:t>
            </w:r>
            <w:r>
              <w:rPr>
                <w:rFonts w:hint="eastAsia" w:ascii="仿宋" w:hAnsi="仿宋" w:eastAsia="仿宋" w:cs="仿宋"/>
                <w:sz w:val="24"/>
                <w:szCs w:val="24"/>
                <w:highlight w:val="none"/>
              </w:rPr>
              <w:t>建议？</w:t>
            </w:r>
          </w:p>
        </w:tc>
        <w:tc>
          <w:tcPr>
            <w:tcW w:w="3016" w:type="dxa"/>
            <w:vAlign w:val="center"/>
          </w:tcPr>
          <w:p w14:paraId="14995D62">
            <w:pPr>
              <w:keepNext w:val="0"/>
              <w:keepLines w:val="0"/>
              <w:pageBreakBefore w:val="0"/>
              <w:widowControl/>
              <w:kinsoku/>
              <w:wordWrap/>
              <w:overflowPunct/>
              <w:topLinePunct w:val="0"/>
              <w:autoSpaceDE/>
              <w:autoSpaceDN/>
              <w:bidi w:val="0"/>
              <w:adjustRightInd/>
              <w:snapToGrid/>
              <w:spacing w:after="0" w:afterLines="0"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是   </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否</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备注：</w:t>
            </w:r>
            <w:r>
              <w:rPr>
                <w:rFonts w:hint="eastAsia" w:ascii="仿宋" w:hAnsi="仿宋" w:eastAsia="仿宋" w:cs="仿宋"/>
                <w:sz w:val="24"/>
                <w:szCs w:val="24"/>
                <w:highlight w:val="none"/>
                <w:u w:val="single"/>
              </w:rPr>
              <w:t xml:space="preserve">                        </w:t>
            </w:r>
          </w:p>
        </w:tc>
      </w:tr>
      <w:tr w14:paraId="49F94A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232" w:type="dxa"/>
            <w:vAlign w:val="center"/>
          </w:tcPr>
          <w:p w14:paraId="75127639">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4812" w:type="dxa"/>
            <w:gridSpan w:val="2"/>
            <w:vAlign w:val="center"/>
          </w:tcPr>
          <w:p w14:paraId="345EA291">
            <w:pPr>
              <w:keepNext w:val="0"/>
              <w:keepLines w:val="0"/>
              <w:pageBreakBefore w:val="0"/>
              <w:widowControl/>
              <w:kinsoku/>
              <w:wordWrap/>
              <w:overflowPunct/>
              <w:topLinePunct w:val="0"/>
              <w:autoSpaceDE/>
              <w:autoSpaceDN/>
              <w:bidi w:val="0"/>
              <w:adjustRightInd/>
              <w:snapToGrid/>
              <w:spacing w:after="0" w:afterLines="0" w:line="24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系统测评机构是否有推销相关产品及服务？</w:t>
            </w:r>
          </w:p>
        </w:tc>
        <w:tc>
          <w:tcPr>
            <w:tcW w:w="3016" w:type="dxa"/>
            <w:vAlign w:val="center"/>
          </w:tcPr>
          <w:p w14:paraId="79A5A4D1">
            <w:pPr>
              <w:keepNext w:val="0"/>
              <w:keepLines w:val="0"/>
              <w:pageBreakBefore w:val="0"/>
              <w:widowControl/>
              <w:kinsoku/>
              <w:wordWrap/>
              <w:overflowPunct/>
              <w:topLinePunct w:val="0"/>
              <w:autoSpaceDE/>
              <w:autoSpaceDN/>
              <w:bidi w:val="0"/>
              <w:adjustRightInd/>
              <w:snapToGrid/>
              <w:spacing w:after="0" w:afterLines="0" w:line="24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是   </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否</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备注：</w:t>
            </w:r>
            <w:r>
              <w:rPr>
                <w:rFonts w:hint="eastAsia" w:ascii="仿宋" w:hAnsi="仿宋" w:eastAsia="仿宋" w:cs="仿宋"/>
                <w:sz w:val="24"/>
                <w:szCs w:val="24"/>
                <w:highlight w:val="none"/>
                <w:u w:val="single"/>
              </w:rPr>
              <w:t xml:space="preserve">                        </w:t>
            </w:r>
          </w:p>
        </w:tc>
      </w:tr>
      <w:tr w14:paraId="3146CF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9060" w:type="dxa"/>
            <w:gridSpan w:val="4"/>
            <w:vAlign w:val="center"/>
          </w:tcPr>
          <w:p w14:paraId="6EAF9946">
            <w:pPr>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其他意见或建议</w:t>
            </w:r>
          </w:p>
        </w:tc>
      </w:tr>
      <w:tr w14:paraId="3BF0E3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48" w:hRule="atLeast"/>
          <w:jc w:val="center"/>
        </w:trPr>
        <w:tc>
          <w:tcPr>
            <w:tcW w:w="9060" w:type="dxa"/>
            <w:gridSpan w:val="4"/>
            <w:vAlign w:val="center"/>
          </w:tcPr>
          <w:p w14:paraId="20509047">
            <w:pPr>
              <w:keepNext w:val="0"/>
              <w:keepLines w:val="0"/>
              <w:pageBreakBefore w:val="0"/>
              <w:widowControl/>
              <w:kinsoku/>
              <w:wordWrap/>
              <w:overflowPunct/>
              <w:topLinePunct w:val="0"/>
              <w:autoSpaceDE/>
              <w:autoSpaceDN/>
              <w:bidi w:val="0"/>
              <w:adjustRightInd/>
              <w:snapToGrid/>
              <w:spacing w:after="0" w:afterLines="0" w:line="240" w:lineRule="auto"/>
              <w:jc w:val="left"/>
              <w:textAlignment w:val="auto"/>
              <w:rPr>
                <w:rFonts w:hint="eastAsia" w:ascii="仿宋" w:hAnsi="仿宋" w:eastAsia="仿宋" w:cs="仿宋"/>
                <w:sz w:val="24"/>
                <w:szCs w:val="24"/>
                <w:highlight w:val="none"/>
              </w:rPr>
            </w:pPr>
          </w:p>
          <w:p w14:paraId="48ACD2E1">
            <w:pPr>
              <w:keepNext w:val="0"/>
              <w:keepLines w:val="0"/>
              <w:pageBreakBefore w:val="0"/>
              <w:widowControl/>
              <w:kinsoku/>
              <w:wordWrap/>
              <w:overflowPunct/>
              <w:topLinePunct w:val="0"/>
              <w:autoSpaceDE/>
              <w:autoSpaceDN/>
              <w:bidi w:val="0"/>
              <w:adjustRightInd/>
              <w:snapToGrid/>
              <w:spacing w:after="0" w:afterLines="0" w:line="240" w:lineRule="auto"/>
              <w:jc w:val="left"/>
              <w:textAlignment w:val="auto"/>
              <w:rPr>
                <w:rFonts w:hint="eastAsia" w:ascii="仿宋" w:hAnsi="仿宋" w:eastAsia="仿宋" w:cs="仿宋"/>
                <w:sz w:val="24"/>
                <w:szCs w:val="24"/>
                <w:highlight w:val="none"/>
              </w:rPr>
            </w:pPr>
          </w:p>
          <w:p w14:paraId="3707DED9">
            <w:pPr>
              <w:keepNext w:val="0"/>
              <w:keepLines w:val="0"/>
              <w:pageBreakBefore w:val="0"/>
              <w:widowControl/>
              <w:kinsoku/>
              <w:wordWrap/>
              <w:overflowPunct/>
              <w:topLinePunct w:val="0"/>
              <w:autoSpaceDE/>
              <w:autoSpaceDN/>
              <w:bidi w:val="0"/>
              <w:adjustRightInd/>
              <w:snapToGrid/>
              <w:spacing w:after="0" w:afterLines="0" w:line="240" w:lineRule="auto"/>
              <w:jc w:val="left"/>
              <w:textAlignment w:val="auto"/>
              <w:rPr>
                <w:rFonts w:hint="eastAsia" w:ascii="仿宋" w:hAnsi="仿宋" w:eastAsia="仿宋" w:cs="仿宋"/>
                <w:sz w:val="24"/>
                <w:szCs w:val="24"/>
                <w:highlight w:val="none"/>
              </w:rPr>
            </w:pPr>
          </w:p>
          <w:p w14:paraId="25B463DA">
            <w:pPr>
              <w:keepNext w:val="0"/>
              <w:keepLines w:val="0"/>
              <w:pageBreakBefore w:val="0"/>
              <w:widowControl/>
              <w:kinsoku/>
              <w:wordWrap/>
              <w:overflowPunct/>
              <w:topLinePunct w:val="0"/>
              <w:autoSpaceDE/>
              <w:autoSpaceDN/>
              <w:bidi w:val="0"/>
              <w:adjustRightInd/>
              <w:snapToGrid/>
              <w:spacing w:after="0" w:afterLines="0" w:line="240" w:lineRule="auto"/>
              <w:jc w:val="left"/>
              <w:textAlignment w:val="auto"/>
              <w:rPr>
                <w:rFonts w:hint="eastAsia" w:ascii="仿宋" w:hAnsi="仿宋" w:eastAsia="仿宋" w:cs="仿宋"/>
                <w:sz w:val="24"/>
                <w:szCs w:val="24"/>
                <w:highlight w:val="none"/>
              </w:rPr>
            </w:pPr>
          </w:p>
          <w:p w14:paraId="714EBB57">
            <w:pPr>
              <w:keepNext w:val="0"/>
              <w:keepLines w:val="0"/>
              <w:pageBreakBefore w:val="0"/>
              <w:widowControl/>
              <w:kinsoku/>
              <w:wordWrap/>
              <w:overflowPunct/>
              <w:topLinePunct w:val="0"/>
              <w:autoSpaceDE/>
              <w:autoSpaceDN/>
              <w:bidi w:val="0"/>
              <w:adjustRightInd/>
              <w:snapToGrid/>
              <w:spacing w:after="0" w:afterLines="0" w:line="24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客户签字</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盖章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年    月   日</w:t>
            </w:r>
          </w:p>
        </w:tc>
      </w:tr>
    </w:tbl>
    <w:p w14:paraId="60066036">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3AAA662">
      <w:pPr>
        <w:spacing w:line="576" w:lineRule="exact"/>
        <w:rPr>
          <w:rFonts w:hint="eastAsia" w:ascii="仿宋" w:hAnsi="仿宋" w:eastAsia="仿宋" w:cs="仿宋"/>
          <w:b/>
          <w:bCs/>
          <w:sz w:val="24"/>
          <w:szCs w:val="24"/>
          <w:highlight w:val="none"/>
          <w:lang w:eastAsia="zh-CN"/>
        </w:rPr>
      </w:pPr>
      <w:r>
        <w:rPr>
          <w:rFonts w:hint="eastAsia" w:ascii="仿宋" w:hAnsi="仿宋" w:eastAsia="仿宋" w:cs="仿宋"/>
          <w:sz w:val="24"/>
          <w:szCs w:val="24"/>
          <w:highlight w:val="none"/>
        </w:rPr>
        <w:t>附件</w:t>
      </w:r>
      <w:r>
        <w:rPr>
          <w:rFonts w:hint="eastAsia" w:ascii="仿宋" w:hAnsi="仿宋" w:eastAsia="仿宋" w:cs="仿宋"/>
          <w:sz w:val="24"/>
          <w:szCs w:val="24"/>
          <w:highlight w:val="none"/>
          <w:lang w:val="en-US" w:eastAsia="zh-CN"/>
        </w:rPr>
        <w:t>2</w:t>
      </w:r>
    </w:p>
    <w:p w14:paraId="20D953E8">
      <w:pPr>
        <w:pStyle w:val="2"/>
        <w:spacing w:after="0" w:line="576"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保密协议</w:t>
      </w:r>
    </w:p>
    <w:p w14:paraId="44B2A74E">
      <w:pPr>
        <w:spacing w:line="576" w:lineRule="exact"/>
        <w:ind w:firstLine="8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甲方：</w:t>
      </w:r>
      <w:r>
        <w:rPr>
          <w:rFonts w:hint="eastAsia" w:ascii="仿宋" w:hAnsi="仿宋" w:eastAsia="仿宋" w:cs="仿宋"/>
          <w:bCs/>
          <w:sz w:val="24"/>
          <w:szCs w:val="24"/>
          <w:highlight w:val="none"/>
          <w:u w:val="single"/>
        </w:rPr>
        <w:t xml:space="preserve">                          </w:t>
      </w:r>
    </w:p>
    <w:p w14:paraId="29AF3503">
      <w:pPr>
        <w:spacing w:line="576" w:lineRule="exact"/>
        <w:ind w:firstLine="8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乙方：</w:t>
      </w:r>
      <w:r>
        <w:rPr>
          <w:rFonts w:hint="eastAsia" w:ascii="仿宋" w:hAnsi="仿宋" w:eastAsia="仿宋" w:cs="仿宋"/>
          <w:bCs/>
          <w:sz w:val="24"/>
          <w:szCs w:val="24"/>
          <w:highlight w:val="none"/>
          <w:u w:val="single"/>
        </w:rPr>
        <w:t xml:space="preserve">                          </w:t>
      </w:r>
    </w:p>
    <w:p w14:paraId="4DCCD969">
      <w:pPr>
        <w:spacing w:line="576" w:lineRule="exact"/>
        <w:ind w:firstLine="8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一、总则</w:t>
      </w:r>
    </w:p>
    <w:p w14:paraId="2F925D11">
      <w:pPr>
        <w:spacing w:line="576" w:lineRule="exact"/>
        <w:ind w:firstLine="482"/>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（一）为确保甲乙双方在等保测评服务合作事宜有序开展，杜绝信息泄露事件的发生。经甲乙双方友好协商,签订本协议。</w:t>
      </w:r>
    </w:p>
    <w:p w14:paraId="704D39DD">
      <w:pPr>
        <w:spacing w:line="576" w:lineRule="exact"/>
        <w:ind w:firstLine="482"/>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（二）本协议适用于的项目名称为：2025年西安市市级部门等保测评集采分用项目(项目编号：</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)第</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包。</w:t>
      </w:r>
    </w:p>
    <w:p w14:paraId="20A314C8">
      <w:p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二、信息保密要求</w:t>
      </w:r>
    </w:p>
    <w:p w14:paraId="32A82D23">
      <w:p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乙方须遵守以下条款，对项目涉及的信息进行保密：</w:t>
      </w:r>
    </w:p>
    <w:p w14:paraId="6EE4F291">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乙方在提供服务过程中，应对来源于被测评对象的所有信息进行涉密情况的征询，对于相关信息要做好保密管理。</w:t>
      </w:r>
    </w:p>
    <w:p w14:paraId="6D40F547">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对来源于被测评对象的所有信息（包括但不限于相关技术资料、报告、摘要、纪要、文件、计划、报表、复印件、信息系统应用数据等），乙方负有保密责任，应采取有效保密措施确保信息安全。</w:t>
      </w:r>
    </w:p>
    <w:p w14:paraId="130C7053">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乙方人员须在相关工作人员允许和在场的情况下对被测评对象的信息数据进行操作，乙方不得擅自复制、传播被测评对象的各类信息，不得外泄信息。</w:t>
      </w:r>
    </w:p>
    <w:p w14:paraId="4ABFBD22">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乙方在完成相关服务后，将使用的安全技术设备带离现场时，须在监督下及时使用不可恢复的删除方式彻底删除设备内的被测评对象内部信息。未经许可，不得带走有关文件、资料和数据。</w:t>
      </w:r>
    </w:p>
    <w:p w14:paraId="3EB29FF9">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乙方在提供服务过程中，参与项目的乙方人员应遵守被测评单位的有关规章制度。</w:t>
      </w:r>
    </w:p>
    <w:p w14:paraId="261FE2EF">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相关服务完成后，乙方应将相关交付物完整交付甲方及被测评单位，不得保留相关交付物的副本，相关纸质及电子资料必须销毁，防止信息外流。</w:t>
      </w:r>
    </w:p>
    <w:p w14:paraId="47AECE4E">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乙方在工作期间，严格遵守甲方及被测评单位保密制度及有关规定，不得泄露被测评对象相关系统及数据库的帐号和密码。</w:t>
      </w:r>
    </w:p>
    <w:p w14:paraId="138A13E0">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本协议效力不受劳动合同订立及解除的影响，乙方工作人员调离乙方公司时，乙方公司应负责采取相关措施防止信息泄露；否则发生的项目信息泄露责任，由乙方负责。</w:t>
      </w:r>
    </w:p>
    <w:p w14:paraId="3B49C74D">
      <w:pPr>
        <w:numPr>
          <w:ilvl w:val="0"/>
          <w:numId w:val="1"/>
        </w:num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乙方与乙方工作人员签订针对与本项目的保密协议，确保乙方工作人员严格执行本协议中保密条款。</w:t>
      </w:r>
    </w:p>
    <w:p w14:paraId="7E54EC88">
      <w:p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三、保密期限</w:t>
      </w:r>
    </w:p>
    <w:p w14:paraId="212E0B8A">
      <w:p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本协议自双方签字盖章之日起生效，永久有效。</w:t>
      </w:r>
    </w:p>
    <w:p w14:paraId="11F2167C">
      <w:pPr>
        <w:spacing w:line="576" w:lineRule="exact"/>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四、违约责任</w:t>
      </w:r>
    </w:p>
    <w:p w14:paraId="7E904165">
      <w:pPr>
        <w:spacing w:line="576" w:lineRule="exact"/>
        <w:ind w:firstLine="480" w:firstLineChars="200"/>
        <w:rPr>
          <w:rFonts w:hint="eastAsia" w:ascii="仿宋" w:hAnsi="仿宋" w:eastAsia="仿宋" w:cs="仿宋"/>
          <w:sz w:val="24"/>
          <w:szCs w:val="24"/>
          <w:highlight w:val="none"/>
        </w:rPr>
      </w:pPr>
      <w:r>
        <w:rPr>
          <w:rFonts w:hint="eastAsia" w:ascii="仿宋" w:hAnsi="仿宋" w:eastAsia="仿宋" w:cs="仿宋"/>
          <w:bCs/>
          <w:sz w:val="24"/>
          <w:szCs w:val="24"/>
          <w:highlight w:val="none"/>
        </w:rPr>
        <w:t>乙方不得以任何理由、任何形式泄露甲方及被测评对象的相关机密。如果违反，乙方必须承担甲方及被测评单位因此而造成的全部损失（含直接及间接经济损失）；情节严重者，有关部门</w:t>
      </w:r>
      <w:r>
        <w:rPr>
          <w:rFonts w:hint="eastAsia" w:ascii="仿宋" w:hAnsi="仿宋" w:eastAsia="仿宋" w:cs="仿宋"/>
          <w:bCs/>
          <w:sz w:val="24"/>
          <w:szCs w:val="24"/>
          <w:highlight w:val="none"/>
          <w:lang w:val="en-US" w:eastAsia="zh-CN"/>
        </w:rPr>
        <w:t>将</w:t>
      </w:r>
      <w:r>
        <w:rPr>
          <w:rFonts w:hint="eastAsia" w:ascii="仿宋" w:hAnsi="仿宋" w:eastAsia="仿宋" w:cs="仿宋"/>
          <w:bCs/>
          <w:sz w:val="24"/>
          <w:szCs w:val="24"/>
          <w:highlight w:val="none"/>
        </w:rPr>
        <w:t>追究其刑事责任。</w:t>
      </w:r>
    </w:p>
    <w:p w14:paraId="7E6F34E2">
      <w:pPr>
        <w:spacing w:before="100" w:beforeAutospacing="1" w:after="100" w:afterAutospacing="1" w:line="576" w:lineRule="exact"/>
        <w:ind w:firstLine="480" w:firstLineChars="200"/>
        <w:rPr>
          <w:rFonts w:hint="eastAsia" w:ascii="仿宋" w:hAnsi="仿宋" w:eastAsia="仿宋" w:cs="仿宋"/>
          <w:sz w:val="24"/>
          <w:szCs w:val="24"/>
          <w:highlight w:val="none"/>
        </w:rPr>
      </w:pPr>
    </w:p>
    <w:p w14:paraId="2E50B592">
      <w:pPr>
        <w:pStyle w:val="2"/>
        <w:rPr>
          <w:rFonts w:hint="eastAsia" w:ascii="仿宋" w:hAnsi="仿宋" w:eastAsia="仿宋" w:cs="仿宋"/>
          <w:sz w:val="24"/>
          <w:szCs w:val="24"/>
          <w:highlight w:val="none"/>
        </w:rPr>
      </w:pPr>
      <w:r>
        <w:rPr>
          <w:rFonts w:hint="eastAsia" w:ascii="仿宋" w:hAnsi="仿宋" w:eastAsia="仿宋" w:cs="仿宋"/>
          <w:sz w:val="24"/>
          <w:szCs w:val="24"/>
          <w:highlight w:val="none"/>
        </w:rPr>
        <w:t>甲方（盖章）：                乙方（盖章）：</w:t>
      </w:r>
    </w:p>
    <w:p w14:paraId="4C692A74">
      <w:pPr>
        <w:pStyle w:val="2"/>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或被授权人</w:t>
      </w:r>
      <w:r>
        <w:rPr>
          <w:rFonts w:hint="eastAsia" w:ascii="仿宋" w:hAnsi="仿宋" w:eastAsia="仿宋" w:cs="仿宋"/>
          <w:sz w:val="24"/>
          <w:szCs w:val="24"/>
          <w:highlight w:val="none"/>
        </w:rPr>
        <w:t>：        法定代表人</w:t>
      </w:r>
      <w:r>
        <w:rPr>
          <w:rFonts w:hint="eastAsia" w:ascii="仿宋" w:hAnsi="仿宋" w:eastAsia="仿宋" w:cs="仿宋"/>
          <w:sz w:val="24"/>
          <w:szCs w:val="24"/>
          <w:highlight w:val="none"/>
          <w:lang w:val="en-US" w:eastAsia="zh-CN"/>
        </w:rPr>
        <w:t>或被授权人</w:t>
      </w:r>
      <w:r>
        <w:rPr>
          <w:rFonts w:hint="eastAsia" w:ascii="仿宋" w:hAnsi="仿宋" w:eastAsia="仿宋" w:cs="仿宋"/>
          <w:sz w:val="24"/>
          <w:szCs w:val="24"/>
          <w:highlight w:val="none"/>
        </w:rPr>
        <w:t>：</w:t>
      </w:r>
    </w:p>
    <w:p w14:paraId="0BA12DBF">
      <w:pPr>
        <w:pStyle w:val="2"/>
        <w:rPr>
          <w:rFonts w:hint="default" w:ascii="Times New Roman" w:hAnsi="Times New Roman" w:eastAsia="仿宋_GB2312" w:cs="Times New Roman"/>
          <w:sz w:val="24"/>
          <w:szCs w:val="24"/>
          <w:highlight w:val="none"/>
        </w:rPr>
      </w:pPr>
      <w:r>
        <w:rPr>
          <w:rFonts w:hint="eastAsia" w:ascii="仿宋" w:hAnsi="仿宋" w:eastAsia="仿宋" w:cs="仿宋"/>
          <w:sz w:val="24"/>
          <w:szCs w:val="24"/>
          <w:highlight w:val="none"/>
        </w:rPr>
        <w:t>日期：                        日期：</w:t>
      </w:r>
    </w:p>
    <w:p w14:paraId="662A104C">
      <w:pPr>
        <w:rPr>
          <w:rFonts w:hint="eastAsia"/>
          <w:highlight w:val="none"/>
          <w:lang w:val="en-US" w:eastAsia="zh-Hans"/>
        </w:rPr>
      </w:pPr>
    </w:p>
    <w:p w14:paraId="5DF8AC6D">
      <w:bookmarkStart w:id="83" w:name="_GoBack"/>
      <w:bookmarkEnd w:id="83"/>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09C1F">
    <w:pPr>
      <w:pStyle w:val="4"/>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197610" cy="311150"/>
              <wp:effectExtent l="0" t="0" r="0" b="0"/>
              <wp:wrapNone/>
              <wp:docPr id="4097" name="文本框 1"/>
              <wp:cNvGraphicFramePr/>
              <a:graphic xmlns:a="http://schemas.openxmlformats.org/drawingml/2006/main">
                <a:graphicData uri="http://schemas.microsoft.com/office/word/2010/wordprocessingShape">
                  <wps:wsp>
                    <wps:cNvSpPr/>
                    <wps:spPr>
                      <a:xfrm>
                        <a:off x="0" y="0"/>
                        <a:ext cx="1197610" cy="311150"/>
                      </a:xfrm>
                      <a:prstGeom prst="rect">
                        <a:avLst/>
                      </a:prstGeom>
                      <a:ln>
                        <a:noFill/>
                      </a:ln>
                    </wps:spPr>
                    <wps:txbx>
                      <w:txbxContent>
                        <w:p w14:paraId="77C5C5DE">
                          <w:pPr>
                            <w:pStyle w:val="4"/>
                            <w:jc w:val="cen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100</w:t>
                          </w:r>
                          <w:r>
                            <w:fldChar w:fldCharType="end"/>
                          </w:r>
                          <w:r>
                            <w:t xml:space="preserve"> 页</w:t>
                          </w:r>
                        </w:p>
                      </w:txbxContent>
                    </wps:txbx>
                    <wps:bodyPr vert="horz" wrap="square" lIns="0" tIns="0" rIns="0" bIns="0" anchor="t">
                      <a:noAutofit/>
                    </wps:bodyPr>
                  </wps:wsp>
                </a:graphicData>
              </a:graphic>
            </wp:anchor>
          </w:drawing>
        </mc:Choice>
        <mc:Fallback>
          <w:pict>
            <v:rect id="文本框 1" o:spid="_x0000_s1026" o:spt="1" style="position:absolute;left:0pt;margin-top:0pt;height:24.5pt;width:94.3pt;mso-position-horizontal:center;mso-position-horizontal-relative:margin;z-index:251659264;mso-width-relative:page;mso-height-relative:page;" filled="f" stroked="f" coordsize="21600,21600" o:gfxdata="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F65G3DVAAAABAEAAA8AAAAAAAAAAQAgAAAAIgAA&#10;AGRycy9kb3ducmV2LnhtbFBLAQIUABQAAAAIAIdO4kCeHS940gEAAJMDAAAOAAAAAAAAAAEAIAAA&#10;ACQBAABkcnMvZTJvRG9jLnhtbFBLBQYAAAAABgAGAFkBAABoBQAAAAA=&#10;">
              <v:fill on="f" focussize="0,0"/>
              <v:stroke on="f"/>
              <v:imagedata o:title=""/>
              <o:lock v:ext="edit" aspectratio="f"/>
              <v:textbox inset="0mm,0mm,0mm,0mm">
                <w:txbxContent>
                  <w:p w14:paraId="77C5C5DE">
                    <w:pPr>
                      <w:pStyle w:val="4"/>
                      <w:jc w:val="cen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100</w:t>
                    </w:r>
                    <w:r>
                      <w:fldChar w:fldCharType="end"/>
                    </w:r>
                    <w: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081D8">
    <w:pPr>
      <w:adjustRightInd w:val="0"/>
      <w:snapToGrid w:val="0"/>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28530"/>
    <w:multiLevelType w:val="singleLevel"/>
    <w:tmpl w:val="3F42853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931CEF"/>
    <w:rsid w:val="26F70EA7"/>
    <w:rsid w:val="71931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basedOn w:val="1"/>
    <w:qFormat/>
    <w:uiPriority w:val="0"/>
    <w:pPr>
      <w:spacing w:after="120"/>
    </w:pPr>
    <w:rPr>
      <w:sz w:val="16"/>
      <w:szCs w:val="16"/>
    </w:rPr>
  </w:style>
  <w:style w:type="paragraph" w:styleId="3">
    <w:name w:val="Body Text"/>
    <w:basedOn w:val="1"/>
    <w:next w:val="1"/>
    <w:qFormat/>
    <w:uiPriority w:val="0"/>
    <w:pPr>
      <w:spacing w:after="120"/>
    </w:pPr>
    <w:rPr>
      <w:szCs w:val="24"/>
    </w:rPr>
  </w:style>
  <w:style w:type="paragraph" w:styleId="4">
    <w:name w:val="footer"/>
    <w:basedOn w:val="1"/>
    <w:qFormat/>
    <w:uiPriority w:val="99"/>
    <w:pPr>
      <w:tabs>
        <w:tab w:val="center" w:pos="4153"/>
        <w:tab w:val="right" w:pos="8306"/>
      </w:tabs>
      <w:snapToGrid w:val="0"/>
      <w:spacing w:line="240" w:lineRule="atLeast"/>
    </w:pPr>
    <w:rPr>
      <w:sz w:val="18"/>
      <w:szCs w:val="18"/>
    </w:rPr>
  </w:style>
  <w:style w:type="character" w:customStyle="1" w:styleId="7">
    <w:name w:val="font21"/>
    <w:basedOn w:val="6"/>
    <w:qFormat/>
    <w:uiPriority w:val="0"/>
    <w:rPr>
      <w:rFonts w:hint="default" w:ascii="Times New Roman" w:hAnsi="Times New Roman" w:cs="Times New Roman"/>
      <w:color w:val="000000"/>
      <w:sz w:val="24"/>
      <w:szCs w:val="24"/>
      <w:u w:val="none"/>
    </w:rPr>
  </w:style>
  <w:style w:type="character" w:customStyle="1" w:styleId="8">
    <w:name w:val="font31"/>
    <w:basedOn w:val="6"/>
    <w:qFormat/>
    <w:uiPriority w:val="0"/>
    <w:rPr>
      <w:rFonts w:hint="eastAsia" w:ascii="仿宋_GB2312" w:eastAsia="仿宋_GB2312" w:cs="仿宋_GB2312"/>
      <w:color w:val="000000"/>
      <w:sz w:val="24"/>
      <w:szCs w:val="24"/>
      <w:u w:val="none"/>
    </w:rPr>
  </w:style>
  <w:style w:type="character" w:customStyle="1" w:styleId="9">
    <w:name w:val="font5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2025-07-31T13:02:00Z</dcterms:created>
  <dc:creator>123</dc:creator>
  <cp:lastModifiedBy>123</cp:lastModifiedBy>
  <dcterms:modified xsi:type="dcterms:W3CDTF">2025-07-31T13:02:39Z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251ED18AF894421CBC5D3EB4DE8FFC72_11</vt:lpwstr>
  </property>
  <property fmtid="{D5CDD505-2E9C-101B-9397-08002B2CF9AE}" pid="4" name="KSOTemplateDocerSaveRecord">
    <vt:lpwstr>eyJoZGlkIjoiOTEyNTBhMjk5MWM3MDIwMTFiN2I0NzllM2U0N2ViMWQiLCJ1c2VySWQiOiI1NDkzMjg4OTQifQ==</vt:lpwstr>
  </property>
</Properties>
</file>