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45CA8">
      <w:pPr>
        <w:spacing w:line="312" w:lineRule="exact"/>
        <w:rPr>
          <w:color w:val="auto"/>
          <w:sz w:val="24"/>
          <w:szCs w:val="24"/>
          <w:highlight w:val="none"/>
        </w:rPr>
      </w:pPr>
    </w:p>
    <w:p w14:paraId="30406523">
      <w:pPr>
        <w:ind w:left="2460"/>
        <w:rPr>
          <w:rFonts w:hint="default" w:eastAsia="宋体"/>
          <w:color w:val="auto"/>
          <w:sz w:val="20"/>
          <w:szCs w:val="20"/>
          <w:highlight w:val="none"/>
          <w:lang w:val="en-US" w:eastAsia="zh-CN"/>
        </w:rPr>
      </w:pPr>
      <w:r>
        <w:rPr>
          <w:rFonts w:ascii="宋体" w:hAnsi="宋体" w:eastAsia="宋体" w:cs="宋体"/>
          <w:b/>
          <w:bCs/>
          <w:color w:val="auto"/>
          <w:sz w:val="48"/>
          <w:szCs w:val="48"/>
          <w:highlight w:val="none"/>
        </w:rPr>
        <w:t>西安市</w:t>
      </w:r>
      <w:r>
        <w:rPr>
          <w:rFonts w:hint="eastAsia" w:ascii="宋体" w:hAnsi="宋体" w:eastAsia="宋体" w:cs="宋体"/>
          <w:b/>
          <w:bCs/>
          <w:color w:val="auto"/>
          <w:sz w:val="48"/>
          <w:szCs w:val="48"/>
          <w:highlight w:val="none"/>
          <w:lang w:val="en-US" w:eastAsia="zh-CN"/>
        </w:rPr>
        <w:t>胸科医院</w:t>
      </w:r>
    </w:p>
    <w:p w14:paraId="7793D334">
      <w:pPr>
        <w:spacing w:line="127" w:lineRule="exact"/>
        <w:rPr>
          <w:color w:val="auto"/>
          <w:sz w:val="24"/>
          <w:szCs w:val="24"/>
          <w:highlight w:val="none"/>
        </w:rPr>
      </w:pPr>
    </w:p>
    <w:p w14:paraId="0351572C">
      <w:pPr>
        <w:ind w:firstLine="803" w:firstLineChars="200"/>
        <w:outlineLvl w:val="0"/>
        <w:rPr>
          <w:rFonts w:ascii="宋体" w:hAnsi="宋体" w:eastAsia="宋体" w:cs="宋体"/>
          <w:b/>
          <w:bCs/>
          <w:color w:val="auto"/>
          <w:sz w:val="40"/>
          <w:szCs w:val="40"/>
          <w:highlight w:val="none"/>
        </w:rPr>
      </w:pPr>
    </w:p>
    <w:p w14:paraId="26141B77">
      <w:pPr>
        <w:ind w:firstLine="803" w:firstLineChars="200"/>
        <w:outlineLvl w:val="0"/>
        <w:rPr>
          <w:color w:val="auto"/>
          <w:sz w:val="20"/>
          <w:szCs w:val="20"/>
          <w:highlight w:val="none"/>
        </w:rPr>
      </w:pPr>
      <w:r>
        <w:rPr>
          <w:rFonts w:ascii="宋体" w:hAnsi="宋体" w:eastAsia="宋体" w:cs="宋体"/>
          <w:b/>
          <w:bCs/>
          <w:color w:val="auto"/>
          <w:sz w:val="40"/>
          <w:szCs w:val="40"/>
          <w:highlight w:val="none"/>
        </w:rPr>
        <w:t>（项目名称：</w:t>
      </w:r>
      <w:r>
        <w:rPr>
          <w:rFonts w:hint="eastAsia" w:ascii="宋体" w:hAnsi="宋体" w:eastAsia="宋体" w:cs="宋体"/>
          <w:b/>
          <w:bCs/>
          <w:color w:val="auto"/>
          <w:sz w:val="40"/>
          <w:szCs w:val="40"/>
          <w:highlight w:val="none"/>
          <w:lang w:val="en-US" w:eastAsia="zh-CN"/>
        </w:rPr>
        <w:t>VTE防治系统采购项目</w:t>
      </w:r>
      <w:r>
        <w:rPr>
          <w:rFonts w:ascii="宋体" w:hAnsi="宋体" w:eastAsia="宋体" w:cs="宋体"/>
          <w:b/>
          <w:bCs/>
          <w:color w:val="auto"/>
          <w:sz w:val="40"/>
          <w:szCs w:val="40"/>
          <w:highlight w:val="none"/>
        </w:rPr>
        <w:t>）</w:t>
      </w:r>
      <w:r>
        <w:rPr>
          <w:rFonts w:hint="eastAsia" w:ascii="宋体" w:hAnsi="宋体" w:eastAsia="宋体" w:cs="宋体"/>
          <w:b/>
          <w:bCs/>
          <w:color w:val="auto"/>
          <w:sz w:val="40"/>
          <w:szCs w:val="40"/>
          <w:highlight w:val="none"/>
          <w:lang w:val="en-US" w:eastAsia="zh-CN"/>
        </w:rPr>
        <w:t xml:space="preserve">          </w:t>
      </w:r>
    </w:p>
    <w:p w14:paraId="2AAE9608">
      <w:pPr>
        <w:spacing w:line="200" w:lineRule="exact"/>
        <w:rPr>
          <w:color w:val="auto"/>
          <w:sz w:val="24"/>
          <w:szCs w:val="24"/>
          <w:highlight w:val="none"/>
        </w:rPr>
      </w:pPr>
    </w:p>
    <w:p w14:paraId="0A45781E">
      <w:pPr>
        <w:spacing w:line="200" w:lineRule="exact"/>
        <w:rPr>
          <w:color w:val="auto"/>
          <w:sz w:val="24"/>
          <w:szCs w:val="24"/>
          <w:highlight w:val="none"/>
        </w:rPr>
      </w:pPr>
    </w:p>
    <w:p w14:paraId="6EE1F398">
      <w:pPr>
        <w:spacing w:line="200" w:lineRule="exact"/>
        <w:rPr>
          <w:color w:val="auto"/>
          <w:sz w:val="24"/>
          <w:szCs w:val="24"/>
          <w:highlight w:val="none"/>
        </w:rPr>
      </w:pPr>
    </w:p>
    <w:p w14:paraId="230AED98">
      <w:pPr>
        <w:spacing w:line="200" w:lineRule="exact"/>
        <w:rPr>
          <w:color w:val="auto"/>
          <w:sz w:val="24"/>
          <w:szCs w:val="24"/>
          <w:highlight w:val="none"/>
        </w:rPr>
      </w:pPr>
    </w:p>
    <w:p w14:paraId="736BC544">
      <w:pPr>
        <w:spacing w:line="200" w:lineRule="exact"/>
        <w:rPr>
          <w:color w:val="auto"/>
          <w:sz w:val="24"/>
          <w:szCs w:val="24"/>
          <w:highlight w:val="none"/>
        </w:rPr>
      </w:pPr>
    </w:p>
    <w:p w14:paraId="3AA80C92">
      <w:pPr>
        <w:spacing w:line="392" w:lineRule="exact"/>
        <w:rPr>
          <w:color w:val="auto"/>
          <w:sz w:val="24"/>
          <w:szCs w:val="24"/>
          <w:highlight w:val="none"/>
        </w:rPr>
      </w:pPr>
    </w:p>
    <w:p w14:paraId="5A94CFD8">
      <w:pPr>
        <w:ind w:left="2160"/>
        <w:rPr>
          <w:color w:val="auto"/>
          <w:sz w:val="20"/>
          <w:szCs w:val="20"/>
          <w:highlight w:val="none"/>
        </w:rPr>
      </w:pPr>
      <w:r>
        <w:rPr>
          <w:rFonts w:ascii="宋体" w:hAnsi="宋体" w:eastAsia="宋体" w:cs="宋体"/>
          <w:b/>
          <w:bCs/>
          <w:color w:val="auto"/>
          <w:sz w:val="72"/>
          <w:szCs w:val="72"/>
          <w:highlight w:val="none"/>
        </w:rPr>
        <w:t>服 务 合 同</w:t>
      </w:r>
    </w:p>
    <w:p w14:paraId="674E4950">
      <w:pPr>
        <w:spacing w:line="163" w:lineRule="exact"/>
        <w:rPr>
          <w:color w:val="auto"/>
          <w:sz w:val="24"/>
          <w:szCs w:val="24"/>
          <w:highlight w:val="none"/>
        </w:rPr>
      </w:pPr>
    </w:p>
    <w:p w14:paraId="69564B47">
      <w:pPr>
        <w:spacing w:line="200" w:lineRule="exact"/>
        <w:rPr>
          <w:rFonts w:hint="eastAsia"/>
          <w:color w:val="auto"/>
          <w:sz w:val="24"/>
          <w:szCs w:val="24"/>
          <w:highlight w:val="none"/>
        </w:rPr>
      </w:pPr>
    </w:p>
    <w:p w14:paraId="5EAFD6F5">
      <w:pPr>
        <w:pStyle w:val="8"/>
        <w:ind w:left="440"/>
        <w:rPr>
          <w:color w:val="auto"/>
          <w:highlight w:val="none"/>
        </w:rPr>
      </w:pPr>
    </w:p>
    <w:p w14:paraId="789096CD">
      <w:pPr>
        <w:spacing w:line="200" w:lineRule="exact"/>
        <w:rPr>
          <w:color w:val="auto"/>
          <w:sz w:val="24"/>
          <w:szCs w:val="24"/>
          <w:highlight w:val="none"/>
        </w:rPr>
      </w:pPr>
    </w:p>
    <w:p w14:paraId="4FAEFB5F">
      <w:pPr>
        <w:spacing w:line="200" w:lineRule="exact"/>
        <w:rPr>
          <w:color w:val="auto"/>
          <w:sz w:val="24"/>
          <w:szCs w:val="24"/>
          <w:highlight w:val="none"/>
        </w:rPr>
      </w:pPr>
    </w:p>
    <w:p w14:paraId="2F432C38">
      <w:pPr>
        <w:spacing w:line="200" w:lineRule="exact"/>
        <w:rPr>
          <w:color w:val="auto"/>
          <w:sz w:val="24"/>
          <w:szCs w:val="24"/>
          <w:highlight w:val="none"/>
        </w:rPr>
      </w:pPr>
    </w:p>
    <w:p w14:paraId="03CDC01F">
      <w:pPr>
        <w:spacing w:line="200" w:lineRule="exact"/>
        <w:rPr>
          <w:color w:val="auto"/>
          <w:sz w:val="24"/>
          <w:szCs w:val="24"/>
          <w:highlight w:val="none"/>
        </w:rPr>
      </w:pPr>
    </w:p>
    <w:p w14:paraId="2F53785B">
      <w:pPr>
        <w:spacing w:line="200" w:lineRule="exact"/>
        <w:rPr>
          <w:color w:val="auto"/>
          <w:sz w:val="24"/>
          <w:szCs w:val="24"/>
          <w:highlight w:val="none"/>
        </w:rPr>
      </w:pPr>
    </w:p>
    <w:p w14:paraId="351894E8">
      <w:pPr>
        <w:spacing w:line="340" w:lineRule="exact"/>
        <w:rPr>
          <w:color w:val="auto"/>
          <w:sz w:val="24"/>
          <w:szCs w:val="24"/>
          <w:highlight w:val="none"/>
        </w:rPr>
      </w:pPr>
    </w:p>
    <w:p w14:paraId="74ACC9AB">
      <w:pPr>
        <w:spacing w:line="379" w:lineRule="auto"/>
        <w:ind w:right="1560" w:firstLine="1446" w:firstLineChars="450"/>
        <w:outlineLvl w:val="0"/>
        <w:rPr>
          <w:rFonts w:ascii="宋体" w:hAnsi="宋体" w:eastAsia="宋体" w:cs="宋体"/>
          <w:b/>
          <w:bCs/>
          <w:color w:val="auto"/>
          <w:sz w:val="32"/>
          <w:szCs w:val="32"/>
          <w:highlight w:val="none"/>
        </w:rPr>
      </w:pPr>
      <w:r>
        <w:rPr>
          <w:rFonts w:ascii="宋体" w:hAnsi="宋体" w:eastAsia="宋体" w:cs="宋体"/>
          <w:b/>
          <w:bCs/>
          <w:color w:val="auto"/>
          <w:sz w:val="32"/>
          <w:szCs w:val="32"/>
          <w:highlight w:val="none"/>
        </w:rPr>
        <w:t>甲 方：</w:t>
      </w:r>
      <w:r>
        <w:rPr>
          <w:rFonts w:hint="eastAsia" w:ascii="宋体" w:hAnsi="宋体" w:eastAsia="宋体" w:cs="宋体"/>
          <w:b/>
          <w:bCs/>
          <w:color w:val="auto"/>
          <w:sz w:val="32"/>
          <w:szCs w:val="32"/>
          <w:highlight w:val="none"/>
        </w:rPr>
        <w:t>西安市胸科医院</w:t>
      </w:r>
    </w:p>
    <w:p w14:paraId="17B2F77E">
      <w:pPr>
        <w:spacing w:line="379" w:lineRule="auto"/>
        <w:ind w:right="1560" w:firstLine="1446" w:firstLineChars="450"/>
        <w:outlineLvl w:val="0"/>
        <w:rPr>
          <w:rFonts w:ascii="宋体" w:hAnsi="宋体" w:eastAsia="宋体" w:cs="宋体"/>
          <w:b/>
          <w:bCs/>
          <w:color w:val="auto"/>
          <w:sz w:val="32"/>
          <w:szCs w:val="32"/>
          <w:highlight w:val="none"/>
        </w:rPr>
      </w:pPr>
      <w:r>
        <w:rPr>
          <w:rFonts w:ascii="宋体" w:hAnsi="宋体" w:eastAsia="宋体" w:cs="宋体"/>
          <w:b/>
          <w:bCs/>
          <w:color w:val="auto"/>
          <w:sz w:val="32"/>
          <w:szCs w:val="32"/>
          <w:highlight w:val="none"/>
        </w:rPr>
        <w:t>乙 方：</w:t>
      </w:r>
    </w:p>
    <w:p w14:paraId="227EABAA">
      <w:pPr>
        <w:spacing w:line="379" w:lineRule="auto"/>
        <w:ind w:right="1560" w:firstLine="1446" w:firstLineChars="450"/>
        <w:outlineLvl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鉴证方：</w:t>
      </w:r>
    </w:p>
    <w:p w14:paraId="73B58CFD">
      <w:pPr>
        <w:spacing w:line="48" w:lineRule="exact"/>
        <w:rPr>
          <w:color w:val="auto"/>
          <w:sz w:val="24"/>
          <w:szCs w:val="24"/>
          <w:highlight w:val="none"/>
        </w:rPr>
      </w:pPr>
    </w:p>
    <w:p w14:paraId="01B5E88B">
      <w:pPr>
        <w:spacing w:line="200" w:lineRule="exact"/>
        <w:rPr>
          <w:color w:val="auto"/>
          <w:sz w:val="24"/>
          <w:szCs w:val="24"/>
          <w:highlight w:val="none"/>
        </w:rPr>
      </w:pPr>
    </w:p>
    <w:p w14:paraId="5073151C">
      <w:pPr>
        <w:spacing w:line="283" w:lineRule="exact"/>
        <w:rPr>
          <w:color w:val="auto"/>
          <w:sz w:val="24"/>
          <w:szCs w:val="24"/>
          <w:highlight w:val="none"/>
        </w:rPr>
      </w:pPr>
    </w:p>
    <w:p w14:paraId="234592EE">
      <w:pPr>
        <w:ind w:left="2880" w:leftChars="0" w:firstLine="720" w:firstLineChars="0"/>
        <w:rPr>
          <w:color w:val="auto"/>
          <w:sz w:val="20"/>
          <w:szCs w:val="20"/>
          <w:highlight w:val="none"/>
        </w:rPr>
      </w:pPr>
      <w:r>
        <w:rPr>
          <w:rFonts w:ascii="宋体" w:hAnsi="宋体" w:eastAsia="宋体" w:cs="宋体"/>
          <w:b/>
          <w:bCs/>
          <w:color w:val="auto"/>
          <w:sz w:val="32"/>
          <w:szCs w:val="32"/>
          <w:highlight w:val="none"/>
        </w:rPr>
        <w:t xml:space="preserve">年 </w:t>
      </w:r>
      <w:r>
        <w:rPr>
          <w:rFonts w:hint="eastAsia" w:ascii="宋体" w:hAnsi="宋体" w:eastAsia="宋体" w:cs="宋体"/>
          <w:b/>
          <w:bCs/>
          <w:color w:val="auto"/>
          <w:sz w:val="32"/>
          <w:szCs w:val="32"/>
          <w:highlight w:val="none"/>
        </w:rPr>
        <w:t xml:space="preserve"> </w:t>
      </w:r>
      <w:r>
        <w:rPr>
          <w:rFonts w:ascii="宋体" w:hAnsi="宋体" w:eastAsia="宋体" w:cs="宋体"/>
          <w:b/>
          <w:bCs/>
          <w:color w:val="auto"/>
          <w:sz w:val="32"/>
          <w:szCs w:val="32"/>
          <w:highlight w:val="none"/>
        </w:rPr>
        <w:t xml:space="preserve"> 月</w:t>
      </w:r>
    </w:p>
    <w:p w14:paraId="037A6C73">
      <w:pPr>
        <w:spacing w:line="259" w:lineRule="exact"/>
        <w:rPr>
          <w:color w:val="auto"/>
          <w:sz w:val="24"/>
          <w:szCs w:val="24"/>
          <w:highlight w:val="none"/>
        </w:rPr>
      </w:pPr>
    </w:p>
    <w:p w14:paraId="4AE0E960">
      <w:pPr>
        <w:tabs>
          <w:tab w:val="left" w:pos="4300"/>
        </w:tabs>
        <w:ind w:left="3360"/>
        <w:rPr>
          <w:rFonts w:ascii="宋体" w:hAnsi="宋体" w:eastAsia="宋体" w:cs="宋体"/>
          <w:b/>
          <w:bCs/>
          <w:color w:val="auto"/>
          <w:sz w:val="32"/>
          <w:szCs w:val="32"/>
          <w:highlight w:val="none"/>
        </w:rPr>
      </w:pPr>
      <w:r>
        <w:rPr>
          <w:rFonts w:ascii="宋体" w:hAnsi="宋体" w:eastAsia="宋体" w:cs="宋体"/>
          <w:b/>
          <w:bCs/>
          <w:color w:val="auto"/>
          <w:sz w:val="32"/>
          <w:szCs w:val="32"/>
          <w:highlight w:val="none"/>
        </w:rPr>
        <w:t>中国</w:t>
      </w:r>
      <w:r>
        <w:rPr>
          <w:color w:val="auto"/>
          <w:sz w:val="20"/>
          <w:szCs w:val="20"/>
          <w:highlight w:val="none"/>
        </w:rPr>
        <w:tab/>
      </w:r>
      <w:r>
        <w:rPr>
          <w:rFonts w:ascii="宋体" w:hAnsi="宋体" w:eastAsia="宋体" w:cs="宋体"/>
          <w:b/>
          <w:bCs/>
          <w:color w:val="auto"/>
          <w:sz w:val="32"/>
          <w:szCs w:val="32"/>
          <w:highlight w:val="none"/>
        </w:rPr>
        <w:t>西安</w:t>
      </w:r>
    </w:p>
    <w:p w14:paraId="5213C0E4">
      <w:pPr>
        <w:spacing w:line="134" w:lineRule="exact"/>
        <w:rPr>
          <w:color w:val="auto"/>
          <w:sz w:val="20"/>
          <w:szCs w:val="20"/>
          <w:highlight w:val="none"/>
        </w:rPr>
      </w:pPr>
    </w:p>
    <w:p w14:paraId="06CC4F22">
      <w:pPr>
        <w:ind w:left="4020"/>
        <w:rPr>
          <w:rFonts w:ascii="宋体" w:hAnsi="宋体" w:eastAsia="宋体" w:cs="宋体"/>
          <w:b/>
          <w:bCs/>
          <w:color w:val="auto"/>
          <w:sz w:val="28"/>
          <w:szCs w:val="28"/>
          <w:highlight w:val="none"/>
        </w:rPr>
      </w:pPr>
    </w:p>
    <w:p w14:paraId="1F042ACC">
      <w:pPr>
        <w:rPr>
          <w:rFonts w:ascii="宋体" w:hAnsi="宋体" w:eastAsia="宋体" w:cs="宋体"/>
          <w:b/>
          <w:bCs/>
          <w:color w:val="auto"/>
          <w:sz w:val="28"/>
          <w:szCs w:val="28"/>
          <w:highlight w:val="none"/>
        </w:rPr>
      </w:pPr>
      <w:r>
        <w:rPr>
          <w:rFonts w:ascii="宋体" w:hAnsi="宋体" w:eastAsia="宋体" w:cs="宋体"/>
          <w:b/>
          <w:bCs/>
          <w:color w:val="auto"/>
          <w:sz w:val="28"/>
          <w:szCs w:val="28"/>
          <w:highlight w:val="none"/>
        </w:rPr>
        <w:br w:type="page"/>
      </w:r>
    </w:p>
    <w:p w14:paraId="06B7DC65">
      <w:pPr>
        <w:ind w:left="4020"/>
        <w:rPr>
          <w:rFonts w:hint="eastAsia" w:eastAsia="宋体"/>
          <w:color w:val="auto"/>
          <w:sz w:val="20"/>
          <w:szCs w:val="20"/>
          <w:highlight w:val="none"/>
          <w:lang w:eastAsia="zh-CN"/>
        </w:rPr>
      </w:pPr>
      <w:r>
        <w:rPr>
          <w:rFonts w:ascii="宋体" w:hAnsi="宋体" w:eastAsia="宋体" w:cs="宋体"/>
          <w:b/>
          <w:bCs/>
          <w:color w:val="auto"/>
          <w:sz w:val="28"/>
          <w:szCs w:val="28"/>
          <w:highlight w:val="none"/>
        </w:rPr>
        <w:t>服务合同</w:t>
      </w:r>
    </w:p>
    <w:p w14:paraId="094CC31E">
      <w:pPr>
        <w:spacing w:line="269" w:lineRule="exact"/>
        <w:rPr>
          <w:color w:val="auto"/>
          <w:sz w:val="20"/>
          <w:szCs w:val="20"/>
          <w:highlight w:val="none"/>
        </w:rPr>
      </w:pPr>
    </w:p>
    <w:p w14:paraId="1C427A8A">
      <w:pPr>
        <w:spacing w:line="239" w:lineRule="auto"/>
        <w:ind w:firstLine="422" w:firstLineChars="200"/>
        <w:rPr>
          <w:color w:val="auto"/>
          <w:sz w:val="21"/>
          <w:szCs w:val="20"/>
          <w:highlight w:val="none"/>
        </w:rPr>
      </w:pPr>
      <w:r>
        <w:rPr>
          <w:rFonts w:ascii="宋体" w:hAnsi="宋体" w:eastAsia="宋体" w:cs="宋体"/>
          <w:b/>
          <w:bCs/>
          <w:color w:val="auto"/>
          <w:szCs w:val="21"/>
          <w:highlight w:val="none"/>
        </w:rPr>
        <w:t>甲方：</w:t>
      </w:r>
      <w:r>
        <w:rPr>
          <w:rFonts w:hint="eastAsia" w:ascii="宋体" w:hAnsi="宋体" w:eastAsia="宋体" w:cs="宋体"/>
          <w:b/>
          <w:bCs/>
          <w:color w:val="auto"/>
          <w:szCs w:val="21"/>
          <w:highlight w:val="none"/>
        </w:rPr>
        <w:t>西安市胸科医院</w:t>
      </w:r>
    </w:p>
    <w:p w14:paraId="0C31BA9E">
      <w:pPr>
        <w:spacing w:line="229" w:lineRule="exact"/>
        <w:rPr>
          <w:color w:val="auto"/>
          <w:sz w:val="21"/>
          <w:szCs w:val="20"/>
          <w:highlight w:val="none"/>
        </w:rPr>
      </w:pPr>
    </w:p>
    <w:p w14:paraId="3606756C">
      <w:pPr>
        <w:spacing w:line="239" w:lineRule="auto"/>
        <w:ind w:firstLine="422" w:firstLineChars="200"/>
        <w:rPr>
          <w:rFonts w:ascii="宋体" w:hAnsi="宋体" w:eastAsia="宋体" w:cs="宋体"/>
          <w:b/>
          <w:bCs/>
          <w:color w:val="auto"/>
          <w:szCs w:val="21"/>
          <w:highlight w:val="none"/>
        </w:rPr>
      </w:pPr>
      <w:r>
        <w:rPr>
          <w:rFonts w:ascii="宋体" w:hAnsi="宋体" w:eastAsia="宋体" w:cs="宋体"/>
          <w:b/>
          <w:bCs/>
          <w:color w:val="auto"/>
          <w:szCs w:val="21"/>
          <w:highlight w:val="none"/>
        </w:rPr>
        <w:t>乙方：</w:t>
      </w:r>
    </w:p>
    <w:p w14:paraId="3637D90D">
      <w:pPr>
        <w:pStyle w:val="2"/>
        <w:rPr>
          <w:highlight w:val="none"/>
        </w:rPr>
      </w:pPr>
    </w:p>
    <w:p w14:paraId="3303D0F9">
      <w:pPr>
        <w:pStyle w:val="2"/>
        <w:rPr>
          <w:rFonts w:hint="eastAsia" w:eastAsia="宋体"/>
          <w:highlight w:val="none"/>
          <w:lang w:eastAsia="zh-CN"/>
        </w:rPr>
      </w:pPr>
      <w:r>
        <w:rPr>
          <w:rFonts w:hint="eastAsia" w:ascii="宋体" w:hAnsi="宋体" w:eastAsia="宋体" w:cs="宋体"/>
          <w:b/>
          <w:bCs/>
          <w:color w:val="auto"/>
          <w:szCs w:val="21"/>
          <w:highlight w:val="none"/>
          <w:lang w:eastAsia="zh-CN"/>
        </w:rPr>
        <w:t>鉴证方：</w:t>
      </w:r>
    </w:p>
    <w:p w14:paraId="115BB93B">
      <w:pPr>
        <w:spacing w:line="229" w:lineRule="exact"/>
        <w:rPr>
          <w:color w:val="auto"/>
          <w:sz w:val="21"/>
          <w:szCs w:val="20"/>
          <w:highlight w:val="none"/>
        </w:rPr>
      </w:pPr>
    </w:p>
    <w:p w14:paraId="040EE8F8">
      <w:pPr>
        <w:spacing w:line="229" w:lineRule="exact"/>
        <w:rPr>
          <w:color w:val="auto"/>
          <w:sz w:val="21"/>
          <w:szCs w:val="20"/>
          <w:highlight w:val="none"/>
        </w:rPr>
      </w:pPr>
    </w:p>
    <w:p w14:paraId="6939E3F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在西安市财政局政府采购管理处的监督管理下，按照政府采购程序组织竞争性磋商，确定乙方为成交供应商。依据《中华人民共和国政府采购法》、《中华人民共和国招标投标法》、《中华人民共和国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sz w:val="24"/>
          <w:szCs w:val="24"/>
          <w:highlight w:val="none"/>
        </w:rPr>
        <w:t>》以及招标文件、成交供应商招标文件正本和澄清表（函）、成交通知书，经甲、乙双方协商，达成如下条款：</w:t>
      </w:r>
    </w:p>
    <w:p w14:paraId="14C97A1F">
      <w:pPr>
        <w:spacing w:line="229" w:lineRule="exact"/>
        <w:rPr>
          <w:color w:val="auto"/>
          <w:szCs w:val="21"/>
          <w:highlight w:val="none"/>
        </w:rPr>
      </w:pPr>
    </w:p>
    <w:p w14:paraId="46F73EDC">
      <w:pPr>
        <w:spacing w:line="239" w:lineRule="auto"/>
        <w:outlineLvl w:val="0"/>
        <w:rPr>
          <w:color w:val="auto"/>
          <w:szCs w:val="21"/>
          <w:highlight w:val="none"/>
        </w:rPr>
      </w:pPr>
      <w:r>
        <w:rPr>
          <w:rFonts w:ascii="宋体" w:hAnsi="宋体" w:eastAsia="宋体" w:cs="宋体"/>
          <w:b/>
          <w:bCs/>
          <w:color w:val="auto"/>
          <w:szCs w:val="21"/>
          <w:highlight w:val="none"/>
        </w:rPr>
        <w:t>一、合同标的服务内容及数量：</w:t>
      </w:r>
    </w:p>
    <w:p w14:paraId="7FBD739B">
      <w:pPr>
        <w:spacing w:line="111" w:lineRule="exact"/>
        <w:rPr>
          <w:color w:val="auto"/>
          <w:szCs w:val="21"/>
          <w:highlight w:val="none"/>
        </w:rPr>
      </w:pPr>
    </w:p>
    <w:tbl>
      <w:tblPr>
        <w:tblStyle w:val="9"/>
        <w:tblW w:w="6480" w:type="dxa"/>
        <w:jc w:val="center"/>
        <w:tblLayout w:type="fixed"/>
        <w:tblCellMar>
          <w:top w:w="0" w:type="dxa"/>
          <w:left w:w="0" w:type="dxa"/>
          <w:bottom w:w="0" w:type="dxa"/>
          <w:right w:w="0" w:type="dxa"/>
        </w:tblCellMar>
      </w:tblPr>
      <w:tblGrid>
        <w:gridCol w:w="660"/>
        <w:gridCol w:w="2180"/>
        <w:gridCol w:w="1320"/>
        <w:gridCol w:w="1220"/>
        <w:gridCol w:w="1100"/>
      </w:tblGrid>
      <w:tr w14:paraId="5FAC3FA7">
        <w:tblPrEx>
          <w:tblCellMar>
            <w:top w:w="0" w:type="dxa"/>
            <w:left w:w="0" w:type="dxa"/>
            <w:bottom w:w="0" w:type="dxa"/>
            <w:right w:w="0" w:type="dxa"/>
          </w:tblCellMar>
        </w:tblPrEx>
        <w:trPr>
          <w:trHeight w:val="588" w:hRule="atLeast"/>
          <w:jc w:val="center"/>
        </w:trPr>
        <w:tc>
          <w:tcPr>
            <w:tcW w:w="660" w:type="dxa"/>
            <w:tcBorders>
              <w:top w:val="single" w:color="auto" w:sz="8" w:space="0"/>
              <w:left w:val="single" w:color="auto" w:sz="8" w:space="0"/>
              <w:right w:val="single" w:color="auto" w:sz="8" w:space="0"/>
            </w:tcBorders>
            <w:noWrap w:val="0"/>
            <w:vAlign w:val="bottom"/>
          </w:tcPr>
          <w:p w14:paraId="3047C25F">
            <w:pPr>
              <w:spacing w:line="239" w:lineRule="exact"/>
              <w:jc w:val="center"/>
              <w:rPr>
                <w:color w:val="auto"/>
                <w:szCs w:val="21"/>
                <w:highlight w:val="none"/>
              </w:rPr>
            </w:pPr>
            <w:r>
              <w:rPr>
                <w:rFonts w:ascii="宋体" w:hAnsi="宋体" w:eastAsia="宋体" w:cs="宋体"/>
                <w:color w:val="auto"/>
                <w:w w:val="99"/>
                <w:szCs w:val="21"/>
                <w:highlight w:val="none"/>
              </w:rPr>
              <w:t>序号</w:t>
            </w:r>
          </w:p>
        </w:tc>
        <w:tc>
          <w:tcPr>
            <w:tcW w:w="2180" w:type="dxa"/>
            <w:tcBorders>
              <w:top w:val="single" w:color="auto" w:sz="8" w:space="0"/>
              <w:right w:val="single" w:color="auto" w:sz="8" w:space="0"/>
            </w:tcBorders>
            <w:noWrap w:val="0"/>
            <w:vAlign w:val="bottom"/>
          </w:tcPr>
          <w:p w14:paraId="4CDAB716">
            <w:pPr>
              <w:spacing w:line="239" w:lineRule="exact"/>
              <w:jc w:val="center"/>
              <w:rPr>
                <w:color w:val="auto"/>
                <w:szCs w:val="21"/>
                <w:highlight w:val="none"/>
              </w:rPr>
            </w:pPr>
            <w:r>
              <w:rPr>
                <w:rFonts w:hint="eastAsia" w:ascii="宋体" w:hAnsi="宋体" w:eastAsia="宋体" w:cs="宋体"/>
                <w:color w:val="auto"/>
                <w:w w:val="99"/>
                <w:szCs w:val="21"/>
                <w:highlight w:val="none"/>
                <w:lang w:eastAsia="zh-CN"/>
              </w:rPr>
              <w:t>服务项目</w:t>
            </w:r>
          </w:p>
        </w:tc>
        <w:tc>
          <w:tcPr>
            <w:tcW w:w="1320" w:type="dxa"/>
            <w:tcBorders>
              <w:top w:val="single" w:color="auto" w:sz="8" w:space="0"/>
              <w:right w:val="single" w:color="auto" w:sz="8" w:space="0"/>
            </w:tcBorders>
            <w:noWrap w:val="0"/>
            <w:vAlign w:val="bottom"/>
          </w:tcPr>
          <w:p w14:paraId="7082021A">
            <w:pPr>
              <w:spacing w:line="239" w:lineRule="exact"/>
              <w:jc w:val="center"/>
              <w:rPr>
                <w:color w:val="auto"/>
                <w:szCs w:val="21"/>
                <w:highlight w:val="none"/>
              </w:rPr>
            </w:pPr>
            <w:r>
              <w:rPr>
                <w:rFonts w:ascii="宋体" w:hAnsi="宋体" w:eastAsia="宋体" w:cs="宋体"/>
                <w:color w:val="auto"/>
                <w:w w:val="98"/>
                <w:szCs w:val="21"/>
                <w:highlight w:val="none"/>
              </w:rPr>
              <w:t>数量（套）</w:t>
            </w:r>
          </w:p>
        </w:tc>
        <w:tc>
          <w:tcPr>
            <w:tcW w:w="1220" w:type="dxa"/>
            <w:tcBorders>
              <w:top w:val="single" w:color="auto" w:sz="8" w:space="0"/>
              <w:right w:val="single" w:color="auto" w:sz="8" w:space="0"/>
            </w:tcBorders>
            <w:noWrap w:val="0"/>
            <w:vAlign w:val="bottom"/>
          </w:tcPr>
          <w:p w14:paraId="088BEF29">
            <w:pPr>
              <w:spacing w:line="239" w:lineRule="exact"/>
              <w:jc w:val="center"/>
              <w:rPr>
                <w:color w:val="auto"/>
                <w:szCs w:val="21"/>
                <w:highlight w:val="none"/>
              </w:rPr>
            </w:pPr>
            <w:r>
              <w:rPr>
                <w:rFonts w:ascii="宋体" w:hAnsi="宋体" w:eastAsia="宋体" w:cs="宋体"/>
                <w:color w:val="auto"/>
                <w:w w:val="99"/>
                <w:szCs w:val="21"/>
                <w:highlight w:val="none"/>
              </w:rPr>
              <w:t>品牌</w:t>
            </w:r>
          </w:p>
        </w:tc>
        <w:tc>
          <w:tcPr>
            <w:tcW w:w="1100" w:type="dxa"/>
            <w:tcBorders>
              <w:top w:val="single" w:color="auto" w:sz="8" w:space="0"/>
              <w:right w:val="single" w:color="auto" w:sz="8" w:space="0"/>
            </w:tcBorders>
            <w:noWrap w:val="0"/>
            <w:vAlign w:val="bottom"/>
          </w:tcPr>
          <w:p w14:paraId="73298CE8">
            <w:pPr>
              <w:spacing w:line="239" w:lineRule="exact"/>
              <w:jc w:val="center"/>
              <w:rPr>
                <w:color w:val="auto"/>
                <w:szCs w:val="21"/>
                <w:highlight w:val="none"/>
              </w:rPr>
            </w:pPr>
            <w:r>
              <w:rPr>
                <w:rFonts w:ascii="宋体" w:hAnsi="宋体" w:eastAsia="宋体" w:cs="宋体"/>
                <w:color w:val="auto"/>
                <w:w w:val="99"/>
                <w:szCs w:val="21"/>
                <w:highlight w:val="none"/>
              </w:rPr>
              <w:t>备注</w:t>
            </w:r>
          </w:p>
        </w:tc>
      </w:tr>
      <w:tr w14:paraId="64B292CF">
        <w:tblPrEx>
          <w:tblCellMar>
            <w:top w:w="0" w:type="dxa"/>
            <w:left w:w="0" w:type="dxa"/>
            <w:bottom w:w="0" w:type="dxa"/>
            <w:right w:w="0" w:type="dxa"/>
          </w:tblCellMar>
        </w:tblPrEx>
        <w:trPr>
          <w:trHeight w:val="90" w:hRule="atLeast"/>
          <w:jc w:val="center"/>
        </w:trPr>
        <w:tc>
          <w:tcPr>
            <w:tcW w:w="660" w:type="dxa"/>
            <w:tcBorders>
              <w:left w:val="single" w:color="auto" w:sz="8" w:space="0"/>
              <w:bottom w:val="single" w:color="auto" w:sz="8" w:space="0"/>
              <w:right w:val="single" w:color="auto" w:sz="8" w:space="0"/>
            </w:tcBorders>
            <w:noWrap w:val="0"/>
            <w:vAlign w:val="bottom"/>
          </w:tcPr>
          <w:p w14:paraId="1F0BB50C">
            <w:pPr>
              <w:rPr>
                <w:color w:val="auto"/>
                <w:szCs w:val="21"/>
                <w:highlight w:val="none"/>
              </w:rPr>
            </w:pPr>
          </w:p>
        </w:tc>
        <w:tc>
          <w:tcPr>
            <w:tcW w:w="2180" w:type="dxa"/>
            <w:tcBorders>
              <w:bottom w:val="single" w:color="auto" w:sz="8" w:space="0"/>
              <w:right w:val="single" w:color="auto" w:sz="8" w:space="0"/>
            </w:tcBorders>
            <w:noWrap w:val="0"/>
            <w:vAlign w:val="bottom"/>
          </w:tcPr>
          <w:p w14:paraId="5A485FB1">
            <w:pPr>
              <w:rPr>
                <w:color w:val="auto"/>
                <w:szCs w:val="21"/>
                <w:highlight w:val="none"/>
              </w:rPr>
            </w:pPr>
          </w:p>
        </w:tc>
        <w:tc>
          <w:tcPr>
            <w:tcW w:w="1320" w:type="dxa"/>
            <w:tcBorders>
              <w:bottom w:val="single" w:color="auto" w:sz="8" w:space="0"/>
              <w:right w:val="single" w:color="auto" w:sz="8" w:space="0"/>
            </w:tcBorders>
            <w:noWrap w:val="0"/>
            <w:vAlign w:val="bottom"/>
          </w:tcPr>
          <w:p w14:paraId="589B522E">
            <w:pPr>
              <w:rPr>
                <w:color w:val="auto"/>
                <w:szCs w:val="21"/>
                <w:highlight w:val="none"/>
              </w:rPr>
            </w:pPr>
          </w:p>
        </w:tc>
        <w:tc>
          <w:tcPr>
            <w:tcW w:w="1220" w:type="dxa"/>
            <w:tcBorders>
              <w:bottom w:val="single" w:color="auto" w:sz="8" w:space="0"/>
              <w:right w:val="single" w:color="auto" w:sz="8" w:space="0"/>
            </w:tcBorders>
            <w:noWrap w:val="0"/>
            <w:vAlign w:val="bottom"/>
          </w:tcPr>
          <w:p w14:paraId="0E23E0BE">
            <w:pPr>
              <w:rPr>
                <w:color w:val="auto"/>
                <w:szCs w:val="21"/>
                <w:highlight w:val="none"/>
              </w:rPr>
            </w:pPr>
          </w:p>
        </w:tc>
        <w:tc>
          <w:tcPr>
            <w:tcW w:w="1100" w:type="dxa"/>
            <w:tcBorders>
              <w:bottom w:val="single" w:color="auto" w:sz="8" w:space="0"/>
              <w:right w:val="single" w:color="auto" w:sz="8" w:space="0"/>
            </w:tcBorders>
            <w:noWrap w:val="0"/>
            <w:vAlign w:val="bottom"/>
          </w:tcPr>
          <w:p w14:paraId="0EB80F9A">
            <w:pPr>
              <w:rPr>
                <w:color w:val="auto"/>
                <w:szCs w:val="21"/>
                <w:highlight w:val="none"/>
              </w:rPr>
            </w:pPr>
          </w:p>
        </w:tc>
      </w:tr>
      <w:tr w14:paraId="653DBD8A">
        <w:tblPrEx>
          <w:tblCellMar>
            <w:top w:w="0" w:type="dxa"/>
            <w:left w:w="0" w:type="dxa"/>
            <w:bottom w:w="0" w:type="dxa"/>
            <w:right w:w="0" w:type="dxa"/>
          </w:tblCellMar>
        </w:tblPrEx>
        <w:trPr>
          <w:trHeight w:val="330" w:hRule="atLeast"/>
          <w:jc w:val="center"/>
        </w:trPr>
        <w:tc>
          <w:tcPr>
            <w:tcW w:w="660" w:type="dxa"/>
            <w:tcBorders>
              <w:left w:val="single" w:color="auto" w:sz="8" w:space="0"/>
              <w:right w:val="single" w:color="auto" w:sz="8" w:space="0"/>
            </w:tcBorders>
            <w:noWrap w:val="0"/>
            <w:vAlign w:val="bottom"/>
          </w:tcPr>
          <w:p w14:paraId="33F14FD9">
            <w:pPr>
              <w:spacing w:line="239" w:lineRule="exact"/>
              <w:ind w:right="175"/>
              <w:jc w:val="right"/>
              <w:rPr>
                <w:color w:val="auto"/>
                <w:szCs w:val="21"/>
                <w:highlight w:val="none"/>
              </w:rPr>
            </w:pPr>
            <w:r>
              <w:rPr>
                <w:rFonts w:ascii="宋体" w:hAnsi="宋体" w:eastAsia="宋体" w:cs="宋体"/>
                <w:color w:val="auto"/>
                <w:szCs w:val="21"/>
                <w:highlight w:val="none"/>
              </w:rPr>
              <w:t>1</w:t>
            </w:r>
          </w:p>
        </w:tc>
        <w:tc>
          <w:tcPr>
            <w:tcW w:w="2180" w:type="dxa"/>
            <w:tcBorders>
              <w:right w:val="single" w:color="auto" w:sz="8" w:space="0"/>
            </w:tcBorders>
            <w:noWrap w:val="0"/>
            <w:vAlign w:val="bottom"/>
          </w:tcPr>
          <w:p w14:paraId="718CFEA6">
            <w:pPr>
              <w:spacing w:line="239" w:lineRule="exact"/>
              <w:jc w:val="center"/>
              <w:rPr>
                <w:color w:val="auto"/>
                <w:szCs w:val="21"/>
                <w:highlight w:val="none"/>
              </w:rPr>
            </w:pPr>
          </w:p>
        </w:tc>
        <w:tc>
          <w:tcPr>
            <w:tcW w:w="1320" w:type="dxa"/>
            <w:tcBorders>
              <w:right w:val="single" w:color="auto" w:sz="8" w:space="0"/>
            </w:tcBorders>
            <w:noWrap w:val="0"/>
            <w:vAlign w:val="bottom"/>
          </w:tcPr>
          <w:p w14:paraId="2A5C5B48">
            <w:pPr>
              <w:spacing w:line="239" w:lineRule="exact"/>
              <w:jc w:val="center"/>
              <w:rPr>
                <w:color w:val="auto"/>
                <w:szCs w:val="21"/>
                <w:highlight w:val="none"/>
              </w:rPr>
            </w:pPr>
          </w:p>
        </w:tc>
        <w:tc>
          <w:tcPr>
            <w:tcW w:w="1220" w:type="dxa"/>
            <w:tcBorders>
              <w:right w:val="single" w:color="auto" w:sz="8" w:space="0"/>
            </w:tcBorders>
            <w:noWrap w:val="0"/>
            <w:vAlign w:val="bottom"/>
          </w:tcPr>
          <w:p w14:paraId="0472D31C">
            <w:pPr>
              <w:spacing w:line="239" w:lineRule="exact"/>
              <w:jc w:val="center"/>
              <w:rPr>
                <w:color w:val="auto"/>
                <w:szCs w:val="21"/>
                <w:highlight w:val="none"/>
              </w:rPr>
            </w:pPr>
          </w:p>
        </w:tc>
        <w:tc>
          <w:tcPr>
            <w:tcW w:w="1100" w:type="dxa"/>
            <w:tcBorders>
              <w:right w:val="single" w:color="auto" w:sz="8" w:space="0"/>
            </w:tcBorders>
            <w:noWrap w:val="0"/>
            <w:vAlign w:val="bottom"/>
          </w:tcPr>
          <w:p w14:paraId="1D09F65E">
            <w:pPr>
              <w:spacing w:line="239" w:lineRule="exact"/>
              <w:jc w:val="center"/>
              <w:rPr>
                <w:color w:val="auto"/>
                <w:szCs w:val="21"/>
                <w:highlight w:val="none"/>
              </w:rPr>
            </w:pPr>
          </w:p>
        </w:tc>
      </w:tr>
      <w:tr w14:paraId="49F73025">
        <w:tblPrEx>
          <w:tblCellMar>
            <w:top w:w="0" w:type="dxa"/>
            <w:left w:w="0" w:type="dxa"/>
            <w:bottom w:w="0" w:type="dxa"/>
            <w:right w:w="0" w:type="dxa"/>
          </w:tblCellMar>
        </w:tblPrEx>
        <w:trPr>
          <w:trHeight w:val="128" w:hRule="atLeast"/>
          <w:jc w:val="center"/>
        </w:trPr>
        <w:tc>
          <w:tcPr>
            <w:tcW w:w="660" w:type="dxa"/>
            <w:tcBorders>
              <w:left w:val="single" w:color="auto" w:sz="8" w:space="0"/>
              <w:bottom w:val="single" w:color="auto" w:sz="8" w:space="0"/>
              <w:right w:val="single" w:color="auto" w:sz="8" w:space="0"/>
            </w:tcBorders>
            <w:noWrap w:val="0"/>
            <w:vAlign w:val="bottom"/>
          </w:tcPr>
          <w:p w14:paraId="5364A6B6">
            <w:pPr>
              <w:rPr>
                <w:color w:val="auto"/>
                <w:szCs w:val="21"/>
                <w:highlight w:val="none"/>
              </w:rPr>
            </w:pPr>
          </w:p>
        </w:tc>
        <w:tc>
          <w:tcPr>
            <w:tcW w:w="2180" w:type="dxa"/>
            <w:tcBorders>
              <w:bottom w:val="single" w:color="auto" w:sz="8" w:space="0"/>
              <w:right w:val="single" w:color="auto" w:sz="8" w:space="0"/>
            </w:tcBorders>
            <w:noWrap w:val="0"/>
            <w:vAlign w:val="bottom"/>
          </w:tcPr>
          <w:p w14:paraId="45C7ED79">
            <w:pPr>
              <w:rPr>
                <w:color w:val="auto"/>
                <w:szCs w:val="21"/>
                <w:highlight w:val="none"/>
              </w:rPr>
            </w:pPr>
          </w:p>
        </w:tc>
        <w:tc>
          <w:tcPr>
            <w:tcW w:w="1320" w:type="dxa"/>
            <w:tcBorders>
              <w:bottom w:val="single" w:color="auto" w:sz="8" w:space="0"/>
              <w:right w:val="single" w:color="auto" w:sz="8" w:space="0"/>
            </w:tcBorders>
            <w:noWrap w:val="0"/>
            <w:vAlign w:val="bottom"/>
          </w:tcPr>
          <w:p w14:paraId="61BDA98D">
            <w:pPr>
              <w:rPr>
                <w:color w:val="auto"/>
                <w:szCs w:val="21"/>
                <w:highlight w:val="none"/>
              </w:rPr>
            </w:pPr>
          </w:p>
        </w:tc>
        <w:tc>
          <w:tcPr>
            <w:tcW w:w="1220" w:type="dxa"/>
            <w:tcBorders>
              <w:bottom w:val="single" w:color="auto" w:sz="8" w:space="0"/>
              <w:right w:val="single" w:color="auto" w:sz="8" w:space="0"/>
            </w:tcBorders>
            <w:noWrap w:val="0"/>
            <w:vAlign w:val="bottom"/>
          </w:tcPr>
          <w:p w14:paraId="4A97159C">
            <w:pPr>
              <w:rPr>
                <w:color w:val="auto"/>
                <w:szCs w:val="21"/>
                <w:highlight w:val="none"/>
              </w:rPr>
            </w:pPr>
          </w:p>
        </w:tc>
        <w:tc>
          <w:tcPr>
            <w:tcW w:w="1100" w:type="dxa"/>
            <w:tcBorders>
              <w:bottom w:val="single" w:color="auto" w:sz="8" w:space="0"/>
              <w:right w:val="single" w:color="auto" w:sz="8" w:space="0"/>
            </w:tcBorders>
            <w:noWrap w:val="0"/>
            <w:vAlign w:val="bottom"/>
          </w:tcPr>
          <w:p w14:paraId="3FA298A2">
            <w:pPr>
              <w:rPr>
                <w:color w:val="auto"/>
                <w:szCs w:val="21"/>
                <w:highlight w:val="none"/>
              </w:rPr>
            </w:pPr>
          </w:p>
        </w:tc>
      </w:tr>
      <w:tr w14:paraId="47CE6D3F">
        <w:tblPrEx>
          <w:tblCellMar>
            <w:top w:w="0" w:type="dxa"/>
            <w:left w:w="0" w:type="dxa"/>
            <w:bottom w:w="0" w:type="dxa"/>
            <w:right w:w="0" w:type="dxa"/>
          </w:tblCellMar>
        </w:tblPrEx>
        <w:trPr>
          <w:trHeight w:val="329" w:hRule="atLeast"/>
          <w:jc w:val="center"/>
        </w:trPr>
        <w:tc>
          <w:tcPr>
            <w:tcW w:w="660" w:type="dxa"/>
            <w:tcBorders>
              <w:left w:val="single" w:color="auto" w:sz="8" w:space="0"/>
              <w:right w:val="single" w:color="auto" w:sz="8" w:space="0"/>
            </w:tcBorders>
            <w:noWrap w:val="0"/>
            <w:vAlign w:val="bottom"/>
          </w:tcPr>
          <w:p w14:paraId="4C3E693C">
            <w:pPr>
              <w:spacing w:line="239" w:lineRule="exact"/>
              <w:jc w:val="center"/>
              <w:rPr>
                <w:color w:val="auto"/>
                <w:szCs w:val="21"/>
                <w:highlight w:val="none"/>
              </w:rPr>
            </w:pPr>
            <w:r>
              <w:rPr>
                <w:rFonts w:ascii="宋体" w:hAnsi="宋体" w:eastAsia="宋体" w:cs="宋体"/>
                <w:color w:val="auto"/>
                <w:w w:val="99"/>
                <w:szCs w:val="21"/>
                <w:highlight w:val="none"/>
              </w:rPr>
              <w:t>说明</w:t>
            </w:r>
          </w:p>
        </w:tc>
        <w:tc>
          <w:tcPr>
            <w:tcW w:w="2180" w:type="dxa"/>
            <w:noWrap w:val="0"/>
            <w:vAlign w:val="bottom"/>
          </w:tcPr>
          <w:p w14:paraId="0BD53008">
            <w:pPr>
              <w:spacing w:line="239" w:lineRule="exact"/>
              <w:ind w:left="100"/>
              <w:rPr>
                <w:color w:val="auto"/>
                <w:szCs w:val="21"/>
                <w:highlight w:val="none"/>
              </w:rPr>
            </w:pPr>
            <w:r>
              <w:rPr>
                <w:rFonts w:ascii="宋体" w:hAnsi="宋体" w:eastAsia="宋体" w:cs="宋体"/>
                <w:color w:val="auto"/>
                <w:szCs w:val="21"/>
                <w:highlight w:val="none"/>
              </w:rPr>
              <w:t>附技术功能清单</w:t>
            </w:r>
          </w:p>
        </w:tc>
        <w:tc>
          <w:tcPr>
            <w:tcW w:w="1320" w:type="dxa"/>
            <w:noWrap w:val="0"/>
            <w:vAlign w:val="bottom"/>
          </w:tcPr>
          <w:p w14:paraId="1370E6CE">
            <w:pPr>
              <w:rPr>
                <w:color w:val="auto"/>
                <w:szCs w:val="21"/>
                <w:highlight w:val="none"/>
              </w:rPr>
            </w:pPr>
          </w:p>
        </w:tc>
        <w:tc>
          <w:tcPr>
            <w:tcW w:w="1220" w:type="dxa"/>
            <w:noWrap w:val="0"/>
            <w:vAlign w:val="bottom"/>
          </w:tcPr>
          <w:p w14:paraId="664C36DA">
            <w:pPr>
              <w:rPr>
                <w:color w:val="auto"/>
                <w:szCs w:val="21"/>
                <w:highlight w:val="none"/>
              </w:rPr>
            </w:pPr>
          </w:p>
        </w:tc>
        <w:tc>
          <w:tcPr>
            <w:tcW w:w="1100" w:type="dxa"/>
            <w:tcBorders>
              <w:right w:val="single" w:color="auto" w:sz="8" w:space="0"/>
            </w:tcBorders>
            <w:noWrap w:val="0"/>
            <w:vAlign w:val="bottom"/>
          </w:tcPr>
          <w:p w14:paraId="73D2755B">
            <w:pPr>
              <w:rPr>
                <w:color w:val="auto"/>
                <w:szCs w:val="21"/>
                <w:highlight w:val="none"/>
              </w:rPr>
            </w:pPr>
          </w:p>
        </w:tc>
      </w:tr>
      <w:tr w14:paraId="0EB6349D">
        <w:tblPrEx>
          <w:tblCellMar>
            <w:top w:w="0" w:type="dxa"/>
            <w:left w:w="0" w:type="dxa"/>
            <w:bottom w:w="0" w:type="dxa"/>
            <w:right w:w="0" w:type="dxa"/>
          </w:tblCellMar>
        </w:tblPrEx>
        <w:trPr>
          <w:trHeight w:val="240" w:hRule="atLeast"/>
          <w:jc w:val="center"/>
        </w:trPr>
        <w:tc>
          <w:tcPr>
            <w:tcW w:w="660" w:type="dxa"/>
            <w:tcBorders>
              <w:left w:val="single" w:color="auto" w:sz="8" w:space="0"/>
              <w:right w:val="single" w:color="auto" w:sz="8" w:space="0"/>
            </w:tcBorders>
            <w:noWrap w:val="0"/>
            <w:vAlign w:val="bottom"/>
          </w:tcPr>
          <w:p w14:paraId="008E1705">
            <w:pPr>
              <w:rPr>
                <w:color w:val="auto"/>
                <w:szCs w:val="21"/>
                <w:highlight w:val="none"/>
              </w:rPr>
            </w:pPr>
          </w:p>
        </w:tc>
        <w:tc>
          <w:tcPr>
            <w:tcW w:w="2180" w:type="dxa"/>
            <w:noWrap w:val="0"/>
            <w:vAlign w:val="bottom"/>
          </w:tcPr>
          <w:p w14:paraId="0D45DEA7">
            <w:pPr>
              <w:rPr>
                <w:color w:val="auto"/>
                <w:szCs w:val="21"/>
                <w:highlight w:val="none"/>
              </w:rPr>
            </w:pPr>
          </w:p>
        </w:tc>
        <w:tc>
          <w:tcPr>
            <w:tcW w:w="1320" w:type="dxa"/>
            <w:noWrap w:val="0"/>
            <w:vAlign w:val="bottom"/>
          </w:tcPr>
          <w:p w14:paraId="63AFF161">
            <w:pPr>
              <w:rPr>
                <w:color w:val="auto"/>
                <w:szCs w:val="21"/>
                <w:highlight w:val="none"/>
              </w:rPr>
            </w:pPr>
          </w:p>
        </w:tc>
        <w:tc>
          <w:tcPr>
            <w:tcW w:w="1220" w:type="dxa"/>
            <w:noWrap w:val="0"/>
            <w:vAlign w:val="bottom"/>
          </w:tcPr>
          <w:p w14:paraId="77E26B80">
            <w:pPr>
              <w:rPr>
                <w:color w:val="auto"/>
                <w:szCs w:val="21"/>
                <w:highlight w:val="none"/>
              </w:rPr>
            </w:pPr>
          </w:p>
        </w:tc>
        <w:tc>
          <w:tcPr>
            <w:tcW w:w="1100" w:type="dxa"/>
            <w:tcBorders>
              <w:right w:val="single" w:color="auto" w:sz="8" w:space="0"/>
            </w:tcBorders>
            <w:noWrap w:val="0"/>
            <w:vAlign w:val="bottom"/>
          </w:tcPr>
          <w:p w14:paraId="5086795C">
            <w:pPr>
              <w:rPr>
                <w:color w:val="auto"/>
                <w:szCs w:val="21"/>
                <w:highlight w:val="none"/>
              </w:rPr>
            </w:pPr>
          </w:p>
        </w:tc>
      </w:tr>
      <w:tr w14:paraId="22D17742">
        <w:tblPrEx>
          <w:tblCellMar>
            <w:top w:w="0" w:type="dxa"/>
            <w:left w:w="0" w:type="dxa"/>
            <w:bottom w:w="0" w:type="dxa"/>
            <w:right w:w="0" w:type="dxa"/>
          </w:tblCellMar>
        </w:tblPrEx>
        <w:trPr>
          <w:trHeight w:val="129" w:hRule="atLeast"/>
          <w:jc w:val="center"/>
        </w:trPr>
        <w:tc>
          <w:tcPr>
            <w:tcW w:w="660" w:type="dxa"/>
            <w:tcBorders>
              <w:left w:val="single" w:color="auto" w:sz="8" w:space="0"/>
              <w:right w:val="single" w:color="auto" w:sz="8" w:space="0"/>
            </w:tcBorders>
            <w:noWrap w:val="0"/>
            <w:vAlign w:val="bottom"/>
          </w:tcPr>
          <w:p w14:paraId="117D9B71">
            <w:pPr>
              <w:rPr>
                <w:color w:val="auto"/>
                <w:szCs w:val="21"/>
                <w:highlight w:val="none"/>
              </w:rPr>
            </w:pPr>
          </w:p>
        </w:tc>
        <w:tc>
          <w:tcPr>
            <w:tcW w:w="2180" w:type="dxa"/>
            <w:noWrap w:val="0"/>
            <w:vAlign w:val="bottom"/>
          </w:tcPr>
          <w:p w14:paraId="5AFA24C7">
            <w:pPr>
              <w:rPr>
                <w:color w:val="auto"/>
                <w:szCs w:val="21"/>
                <w:highlight w:val="none"/>
              </w:rPr>
            </w:pPr>
          </w:p>
        </w:tc>
        <w:tc>
          <w:tcPr>
            <w:tcW w:w="1320" w:type="dxa"/>
            <w:noWrap w:val="0"/>
            <w:vAlign w:val="bottom"/>
          </w:tcPr>
          <w:p w14:paraId="78BDFDE3">
            <w:pPr>
              <w:rPr>
                <w:color w:val="auto"/>
                <w:szCs w:val="21"/>
                <w:highlight w:val="none"/>
              </w:rPr>
            </w:pPr>
          </w:p>
        </w:tc>
        <w:tc>
          <w:tcPr>
            <w:tcW w:w="1220" w:type="dxa"/>
            <w:noWrap w:val="0"/>
            <w:vAlign w:val="bottom"/>
          </w:tcPr>
          <w:p w14:paraId="22D28682">
            <w:pPr>
              <w:rPr>
                <w:color w:val="auto"/>
                <w:szCs w:val="21"/>
                <w:highlight w:val="none"/>
              </w:rPr>
            </w:pPr>
          </w:p>
        </w:tc>
        <w:tc>
          <w:tcPr>
            <w:tcW w:w="1100" w:type="dxa"/>
            <w:tcBorders>
              <w:right w:val="single" w:color="auto" w:sz="8" w:space="0"/>
            </w:tcBorders>
            <w:noWrap w:val="0"/>
            <w:vAlign w:val="bottom"/>
          </w:tcPr>
          <w:p w14:paraId="6897750F">
            <w:pPr>
              <w:rPr>
                <w:color w:val="auto"/>
                <w:szCs w:val="21"/>
                <w:highlight w:val="none"/>
              </w:rPr>
            </w:pPr>
          </w:p>
        </w:tc>
      </w:tr>
      <w:tr w14:paraId="3B6AB1AA">
        <w:tblPrEx>
          <w:tblCellMar>
            <w:top w:w="0" w:type="dxa"/>
            <w:left w:w="0" w:type="dxa"/>
            <w:bottom w:w="0" w:type="dxa"/>
            <w:right w:w="0" w:type="dxa"/>
          </w:tblCellMar>
        </w:tblPrEx>
        <w:trPr>
          <w:trHeight w:val="129" w:hRule="atLeast"/>
          <w:jc w:val="center"/>
        </w:trPr>
        <w:tc>
          <w:tcPr>
            <w:tcW w:w="660" w:type="dxa"/>
            <w:tcBorders>
              <w:left w:val="single" w:color="auto" w:sz="8" w:space="0"/>
              <w:bottom w:val="single" w:color="auto" w:sz="8" w:space="0"/>
              <w:right w:val="single" w:color="auto" w:sz="8" w:space="0"/>
            </w:tcBorders>
            <w:noWrap w:val="0"/>
            <w:vAlign w:val="bottom"/>
          </w:tcPr>
          <w:p w14:paraId="4B2EE80E">
            <w:pPr>
              <w:rPr>
                <w:color w:val="auto"/>
                <w:szCs w:val="21"/>
                <w:highlight w:val="none"/>
              </w:rPr>
            </w:pPr>
          </w:p>
        </w:tc>
        <w:tc>
          <w:tcPr>
            <w:tcW w:w="2180" w:type="dxa"/>
            <w:tcBorders>
              <w:bottom w:val="single" w:color="auto" w:sz="8" w:space="0"/>
            </w:tcBorders>
            <w:noWrap w:val="0"/>
            <w:vAlign w:val="bottom"/>
          </w:tcPr>
          <w:p w14:paraId="150C565C">
            <w:pPr>
              <w:rPr>
                <w:color w:val="auto"/>
                <w:szCs w:val="21"/>
                <w:highlight w:val="none"/>
              </w:rPr>
            </w:pPr>
          </w:p>
        </w:tc>
        <w:tc>
          <w:tcPr>
            <w:tcW w:w="1320" w:type="dxa"/>
            <w:tcBorders>
              <w:bottom w:val="single" w:color="auto" w:sz="8" w:space="0"/>
            </w:tcBorders>
            <w:noWrap w:val="0"/>
            <w:vAlign w:val="bottom"/>
          </w:tcPr>
          <w:p w14:paraId="74AA4DD7">
            <w:pPr>
              <w:rPr>
                <w:color w:val="auto"/>
                <w:szCs w:val="21"/>
                <w:highlight w:val="none"/>
              </w:rPr>
            </w:pPr>
          </w:p>
        </w:tc>
        <w:tc>
          <w:tcPr>
            <w:tcW w:w="1220" w:type="dxa"/>
            <w:tcBorders>
              <w:bottom w:val="single" w:color="auto" w:sz="8" w:space="0"/>
            </w:tcBorders>
            <w:noWrap w:val="0"/>
            <w:vAlign w:val="bottom"/>
          </w:tcPr>
          <w:p w14:paraId="040D51AF">
            <w:pPr>
              <w:rPr>
                <w:color w:val="auto"/>
                <w:szCs w:val="21"/>
                <w:highlight w:val="none"/>
              </w:rPr>
            </w:pPr>
          </w:p>
        </w:tc>
        <w:tc>
          <w:tcPr>
            <w:tcW w:w="1100" w:type="dxa"/>
            <w:tcBorders>
              <w:bottom w:val="single" w:color="auto" w:sz="8" w:space="0"/>
              <w:right w:val="single" w:color="auto" w:sz="8" w:space="0"/>
            </w:tcBorders>
            <w:noWrap w:val="0"/>
            <w:vAlign w:val="bottom"/>
          </w:tcPr>
          <w:p w14:paraId="68B4DEBF">
            <w:pPr>
              <w:rPr>
                <w:color w:val="auto"/>
                <w:szCs w:val="21"/>
                <w:highlight w:val="none"/>
              </w:rPr>
            </w:pPr>
          </w:p>
        </w:tc>
      </w:tr>
    </w:tbl>
    <w:p w14:paraId="20233835">
      <w:pPr>
        <w:spacing w:line="239" w:lineRule="auto"/>
        <w:rPr>
          <w:rFonts w:hint="eastAsia" w:ascii="宋体" w:hAnsi="宋体" w:eastAsia="宋体" w:cs="宋体"/>
          <w:color w:val="auto"/>
          <w:szCs w:val="21"/>
          <w:highlight w:val="none"/>
        </w:rPr>
      </w:pPr>
    </w:p>
    <w:p w14:paraId="23910DC7">
      <w:pPr>
        <w:spacing w:line="239" w:lineRule="auto"/>
        <w:outlineLvl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二、合同价款：</w:t>
      </w:r>
    </w:p>
    <w:p w14:paraId="20E04AC7">
      <w:pPr>
        <w:spacing w:line="239" w:lineRule="auto"/>
        <w:outlineLvl w:val="0"/>
        <w:rPr>
          <w:rFonts w:hint="eastAsia" w:ascii="宋体" w:hAnsi="宋体" w:eastAsia="宋体" w:cs="宋体"/>
          <w:b/>
          <w:bCs/>
          <w:color w:val="auto"/>
          <w:szCs w:val="21"/>
          <w:highlight w:val="none"/>
        </w:rPr>
      </w:pPr>
    </w:p>
    <w:p w14:paraId="595D89C5">
      <w:pPr>
        <w:spacing w:line="360" w:lineRule="auto"/>
        <w:ind w:firstLine="420" w:firstLineChars="200"/>
        <w:rPr>
          <w:color w:val="auto"/>
          <w:szCs w:val="21"/>
          <w:highlight w:val="none"/>
        </w:rPr>
      </w:pPr>
      <w:r>
        <w:rPr>
          <w:rFonts w:ascii="宋体" w:hAnsi="宋体" w:eastAsia="宋体" w:cs="宋体"/>
          <w:color w:val="auto"/>
          <w:szCs w:val="21"/>
          <w:highlight w:val="none"/>
        </w:rPr>
        <w:t>（一）合同总价款为人民币（大写）：</w:t>
      </w:r>
      <w:r>
        <w:rPr>
          <w:rFonts w:hint="eastAsia" w:ascii="宋体" w:hAnsi="宋体" w:eastAsia="宋体" w:cs="宋体"/>
          <w:b/>
          <w:color w:val="auto"/>
          <w:szCs w:val="21"/>
          <w:highlight w:val="none"/>
          <w:u w:val="single"/>
        </w:rPr>
        <w:t xml:space="preserve">           </w:t>
      </w:r>
      <w:r>
        <w:rPr>
          <w:rFonts w:ascii="宋体" w:hAnsi="宋体" w:eastAsia="宋体" w:cs="宋体"/>
          <w:color w:val="auto"/>
          <w:szCs w:val="21"/>
          <w:highlight w:val="none"/>
          <w:u w:val="single"/>
        </w:rPr>
        <w:t>。</w:t>
      </w:r>
    </w:p>
    <w:p w14:paraId="793B110D">
      <w:pPr>
        <w:spacing w:line="360" w:lineRule="auto"/>
        <w:ind w:firstLine="420" w:firstLineChars="200"/>
        <w:rPr>
          <w:color w:val="auto"/>
          <w:szCs w:val="21"/>
          <w:highlight w:val="none"/>
        </w:rPr>
      </w:pPr>
      <w:r>
        <w:rPr>
          <w:rFonts w:ascii="宋体" w:hAnsi="宋体" w:eastAsia="宋体" w:cs="宋体"/>
          <w:color w:val="auto"/>
          <w:szCs w:val="21"/>
          <w:highlight w:val="none"/>
        </w:rPr>
        <w:t>（</w:t>
      </w:r>
      <w:r>
        <w:rPr>
          <w:rFonts w:hint="eastAsia" w:ascii="宋体" w:hAnsi="宋体" w:eastAsia="宋体" w:cs="宋体"/>
          <w:color w:val="auto"/>
          <w:szCs w:val="21"/>
          <w:highlight w:val="none"/>
        </w:rPr>
        <w:t>二</w:t>
      </w:r>
      <w:r>
        <w:rPr>
          <w:rFonts w:ascii="宋体" w:hAnsi="宋体" w:eastAsia="宋体" w:cs="宋体"/>
          <w:color w:val="auto"/>
          <w:szCs w:val="21"/>
          <w:highlight w:val="none"/>
        </w:rPr>
        <w:t>）合同总价包括：供应商为完成本项目要求的全部内容最终价格的体现。供应商所报的价格应考虑到可能发生的所有与完成本项目相关服务及履行合同义务有关的一切费用。</w:t>
      </w:r>
    </w:p>
    <w:p w14:paraId="7988B06F">
      <w:pPr>
        <w:spacing w:line="360" w:lineRule="auto"/>
        <w:ind w:firstLine="420" w:firstLineChars="200"/>
        <w:rPr>
          <w:color w:val="auto"/>
          <w:szCs w:val="21"/>
          <w:highlight w:val="none"/>
        </w:rPr>
      </w:pPr>
      <w:r>
        <w:rPr>
          <w:rFonts w:ascii="宋体" w:hAnsi="宋体" w:eastAsia="宋体" w:cs="宋体"/>
          <w:color w:val="auto"/>
          <w:szCs w:val="21"/>
          <w:highlight w:val="none"/>
        </w:rPr>
        <w:t>（</w:t>
      </w:r>
      <w:r>
        <w:rPr>
          <w:rFonts w:hint="eastAsia" w:ascii="宋体" w:hAnsi="宋体" w:eastAsia="宋体" w:cs="宋体"/>
          <w:color w:val="auto"/>
          <w:szCs w:val="21"/>
          <w:highlight w:val="none"/>
        </w:rPr>
        <w:t>三</w:t>
      </w:r>
      <w:r>
        <w:rPr>
          <w:rFonts w:ascii="宋体" w:hAnsi="宋体" w:eastAsia="宋体" w:cs="宋体"/>
          <w:color w:val="auto"/>
          <w:szCs w:val="21"/>
          <w:highlight w:val="none"/>
        </w:rPr>
        <w:t>）合同总价一次性包死，不受市场价格变化因素的影响。</w:t>
      </w:r>
    </w:p>
    <w:p w14:paraId="03528AE7">
      <w:pPr>
        <w:spacing w:line="229" w:lineRule="exact"/>
        <w:rPr>
          <w:color w:val="auto"/>
          <w:szCs w:val="21"/>
          <w:highlight w:val="none"/>
        </w:rPr>
      </w:pPr>
    </w:p>
    <w:p w14:paraId="6F6AC2DC">
      <w:pPr>
        <w:spacing w:line="239" w:lineRule="auto"/>
        <w:rPr>
          <w:color w:val="auto"/>
          <w:szCs w:val="21"/>
          <w:highlight w:val="none"/>
        </w:rPr>
      </w:pPr>
      <w:r>
        <w:rPr>
          <w:rFonts w:ascii="宋体" w:hAnsi="宋体" w:eastAsia="宋体" w:cs="宋体"/>
          <w:b/>
          <w:bCs/>
          <w:color w:val="auto"/>
          <w:szCs w:val="21"/>
          <w:highlight w:val="none"/>
        </w:rPr>
        <w:t>三、合同款项结算：</w:t>
      </w:r>
    </w:p>
    <w:p w14:paraId="40623FBC">
      <w:pPr>
        <w:spacing w:line="259" w:lineRule="exact"/>
        <w:rPr>
          <w:color w:val="auto"/>
          <w:szCs w:val="21"/>
          <w:highlight w:val="none"/>
        </w:rPr>
      </w:pPr>
    </w:p>
    <w:p w14:paraId="71A4F18D">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一</w:t>
      </w:r>
      <w:r>
        <w:rPr>
          <w:rFonts w:hint="eastAsia" w:ascii="宋体" w:hAnsi="宋体" w:eastAsia="宋体" w:cs="宋体"/>
          <w:color w:val="auto"/>
          <w:sz w:val="21"/>
          <w:szCs w:val="21"/>
          <w:highlight w:val="none"/>
          <w:lang w:eastAsia="zh-CN"/>
        </w:rPr>
        <w:t>）</w:t>
      </w:r>
      <w:r>
        <w:rPr>
          <w:rFonts w:hint="eastAsia" w:ascii="宋体" w:hAnsi="宋体" w:eastAsia="宋体" w:cs="宋体"/>
          <w:b w:val="0"/>
          <w:bCs w:val="0"/>
          <w:color w:val="000000"/>
          <w:sz w:val="21"/>
          <w:szCs w:val="21"/>
          <w:highlight w:val="none"/>
          <w:lang w:val="en-US" w:eastAsia="zh-CN"/>
        </w:rPr>
        <w:t>质保期</w:t>
      </w:r>
      <w:r>
        <w:rPr>
          <w:rFonts w:hint="eastAsia" w:ascii="宋体" w:hAnsi="宋体" w:eastAsia="宋体" w:cs="宋体"/>
          <w:color w:val="auto"/>
          <w:sz w:val="21"/>
          <w:szCs w:val="21"/>
          <w:highlight w:val="none"/>
          <w:lang w:eastAsia="zh-CN"/>
        </w:rPr>
        <w:t>：</w:t>
      </w:r>
      <w:r>
        <w:rPr>
          <w:highlight w:val="none"/>
        </w:rPr>
        <w:t>验收合格之日起</w:t>
      </w:r>
      <w:r>
        <w:rPr>
          <w:rFonts w:hint="eastAsia" w:eastAsia="宋体"/>
          <w:highlight w:val="none"/>
          <w:u w:val="single"/>
          <w:lang w:val="en-US" w:eastAsia="zh-CN"/>
        </w:rPr>
        <w:t xml:space="preserve">   </w:t>
      </w:r>
      <w:r>
        <w:rPr>
          <w:highlight w:val="none"/>
        </w:rPr>
        <w:t>年</w:t>
      </w:r>
      <w:r>
        <w:rPr>
          <w:rFonts w:hint="eastAsia" w:ascii="宋体" w:hAnsi="宋体" w:eastAsia="宋体" w:cs="宋体"/>
          <w:color w:val="auto"/>
          <w:sz w:val="21"/>
          <w:szCs w:val="21"/>
          <w:highlight w:val="none"/>
          <w:lang w:val="en-US" w:eastAsia="zh-CN"/>
        </w:rPr>
        <w:t>。</w:t>
      </w:r>
    </w:p>
    <w:p w14:paraId="1D3AB672">
      <w:pPr>
        <w:pStyle w:val="11"/>
        <w:rPr>
          <w:highlight w:val="none"/>
        </w:rPr>
      </w:pPr>
      <w:r>
        <w:rPr>
          <w:rFonts w:hint="eastAsia" w:ascii="宋体" w:hAnsi="宋体" w:eastAsia="宋体" w:cs="宋体"/>
          <w:color w:val="auto"/>
          <w:sz w:val="21"/>
          <w:szCs w:val="21"/>
          <w:highlight w:val="none"/>
          <w:lang w:val="en-US" w:eastAsia="zh-CN"/>
        </w:rPr>
        <w:t>（二）付款方式：</w:t>
      </w:r>
      <w:r>
        <w:rPr>
          <w:highlight w:val="none"/>
        </w:rPr>
        <w:t>采购包1： 付款条件说明： 合同签订</w:t>
      </w:r>
      <w:r>
        <w:rPr>
          <w:rFonts w:hint="eastAsia"/>
          <w:highlight w:val="none"/>
          <w:lang w:eastAsia="zh-CN"/>
        </w:rPr>
        <w:t>，乙方正式进场后，乙方向甲方提供等额正规发票</w:t>
      </w:r>
      <w:r>
        <w:rPr>
          <w:highlight w:val="none"/>
        </w:rPr>
        <w:t xml:space="preserve"> 14 日内，支付合同总金额的 </w:t>
      </w:r>
      <w:r>
        <w:rPr>
          <w:rFonts w:hint="eastAsia"/>
          <w:highlight w:val="none"/>
          <w:lang w:val="en-US" w:eastAsia="zh-CN"/>
        </w:rPr>
        <w:t>7</w:t>
      </w:r>
      <w:r>
        <w:rPr>
          <w:highlight w:val="none"/>
        </w:rPr>
        <w:t>0.00%。</w:t>
      </w:r>
    </w:p>
    <w:p w14:paraId="11BC4877">
      <w:pPr>
        <w:pStyle w:val="11"/>
        <w:rPr>
          <w:highlight w:val="none"/>
        </w:rPr>
      </w:pPr>
      <w:r>
        <w:rPr>
          <w:highlight w:val="none"/>
        </w:rPr>
        <w:t xml:space="preserve">采购包1： 付款条件说明： </w:t>
      </w:r>
      <w:r>
        <w:rPr>
          <w:rFonts w:hint="eastAsia"/>
          <w:highlight w:val="none"/>
        </w:rPr>
        <w:t>所有货物到达甲方指定地点，安装、调试完毕并</w:t>
      </w:r>
      <w:r>
        <w:rPr>
          <w:rFonts w:hint="eastAsia"/>
          <w:highlight w:val="none"/>
          <w:lang w:eastAsia="zh-CN"/>
        </w:rPr>
        <w:t>初步</w:t>
      </w:r>
      <w:r>
        <w:rPr>
          <w:rFonts w:hint="eastAsia"/>
          <w:highlight w:val="none"/>
        </w:rPr>
        <w:t>验收合格后，乙方开具相应金额的发票后，</w:t>
      </w:r>
      <w:r>
        <w:rPr>
          <w:highlight w:val="none"/>
        </w:rPr>
        <w:t xml:space="preserve"> 14 日内</w:t>
      </w:r>
      <w:r>
        <w:rPr>
          <w:rFonts w:hint="eastAsia"/>
          <w:highlight w:val="none"/>
          <w:lang w:eastAsia="zh-CN"/>
        </w:rPr>
        <w:t>，</w:t>
      </w:r>
      <w:r>
        <w:rPr>
          <w:rFonts w:hint="eastAsia"/>
          <w:highlight w:val="none"/>
        </w:rPr>
        <w:t>甲方支付合同总价款的</w:t>
      </w:r>
      <w:r>
        <w:rPr>
          <w:rFonts w:hint="eastAsia"/>
          <w:highlight w:val="none"/>
          <w:lang w:val="en-US" w:eastAsia="zh-CN"/>
        </w:rPr>
        <w:t>15</w:t>
      </w:r>
      <w:r>
        <w:rPr>
          <w:highlight w:val="none"/>
        </w:rPr>
        <w:t>%。</w:t>
      </w:r>
    </w:p>
    <w:p w14:paraId="00AB892B">
      <w:pPr>
        <w:pStyle w:val="11"/>
        <w:rPr>
          <w:rFonts w:hint="eastAsia" w:eastAsiaTheme="minorEastAsia"/>
          <w:highlight w:val="none"/>
          <w:lang w:eastAsia="zh-CN"/>
        </w:rPr>
      </w:pPr>
      <w:r>
        <w:rPr>
          <w:highlight w:val="none"/>
        </w:rPr>
        <w:t xml:space="preserve">采购包1： 付款条件说明： </w:t>
      </w:r>
      <w:r>
        <w:rPr>
          <w:rFonts w:hint="eastAsia"/>
          <w:highlight w:val="none"/>
          <w:lang w:eastAsia="zh-CN"/>
        </w:rPr>
        <w:t>项目终验合格后，</w:t>
      </w:r>
      <w:r>
        <w:rPr>
          <w:rFonts w:hint="eastAsia"/>
          <w:highlight w:val="none"/>
        </w:rPr>
        <w:t>乙方开具</w:t>
      </w:r>
      <w:r>
        <w:rPr>
          <w:rFonts w:hint="eastAsia"/>
          <w:highlight w:val="none"/>
          <w:lang w:eastAsia="zh-CN"/>
        </w:rPr>
        <w:t>剩余</w:t>
      </w:r>
      <w:r>
        <w:rPr>
          <w:rFonts w:hint="eastAsia"/>
          <w:highlight w:val="none"/>
          <w:lang w:val="en-US" w:eastAsia="zh-CN"/>
        </w:rPr>
        <w:t>15%</w:t>
      </w:r>
      <w:r>
        <w:rPr>
          <w:rFonts w:hint="eastAsia"/>
          <w:highlight w:val="none"/>
        </w:rPr>
        <w:t>金额的发票后，</w:t>
      </w:r>
      <w:r>
        <w:rPr>
          <w:highlight w:val="none"/>
        </w:rPr>
        <w:t>达到付款条件起 14 日内</w:t>
      </w:r>
      <w:r>
        <w:rPr>
          <w:rFonts w:hint="eastAsia"/>
          <w:highlight w:val="none"/>
          <w:lang w:eastAsia="zh-CN"/>
        </w:rPr>
        <w:t>，</w:t>
      </w:r>
      <w:r>
        <w:rPr>
          <w:rFonts w:hint="eastAsia"/>
          <w:highlight w:val="none"/>
        </w:rPr>
        <w:t>甲方支付合同总价款的</w:t>
      </w:r>
      <w:r>
        <w:rPr>
          <w:rFonts w:hint="eastAsia"/>
          <w:highlight w:val="none"/>
          <w:lang w:val="en-US" w:eastAsia="zh-CN"/>
        </w:rPr>
        <w:t>10</w:t>
      </w:r>
      <w:r>
        <w:rPr>
          <w:highlight w:val="none"/>
        </w:rPr>
        <w:t>%。</w:t>
      </w:r>
    </w:p>
    <w:p w14:paraId="23BDDE0E">
      <w:pPr>
        <w:pStyle w:val="11"/>
        <w:rPr>
          <w:highlight w:val="none"/>
        </w:rPr>
      </w:pPr>
      <w:r>
        <w:rPr>
          <w:highlight w:val="none"/>
        </w:rPr>
        <w:t>采购包1： 付款条件说明：</w:t>
      </w:r>
      <w:r>
        <w:rPr>
          <w:rFonts w:hint="eastAsia"/>
          <w:highlight w:val="none"/>
        </w:rPr>
        <w:t>质保期</w:t>
      </w:r>
      <w:r>
        <w:rPr>
          <w:rFonts w:hint="eastAsia"/>
          <w:highlight w:val="none"/>
          <w:lang w:eastAsia="zh-CN"/>
        </w:rPr>
        <w:t>内</w:t>
      </w:r>
      <w:r>
        <w:rPr>
          <w:rFonts w:hint="eastAsia"/>
          <w:highlight w:val="none"/>
        </w:rPr>
        <w:t>，如无质量、服务问题，</w:t>
      </w:r>
      <w:r>
        <w:rPr>
          <w:rFonts w:hint="eastAsia"/>
          <w:highlight w:val="none"/>
          <w:lang w:eastAsia="zh-CN"/>
        </w:rPr>
        <w:t>质保期满</w:t>
      </w:r>
      <w:r>
        <w:rPr>
          <w:highlight w:val="none"/>
        </w:rPr>
        <w:t>达到付款条件起 14 日内，</w:t>
      </w:r>
      <w:r>
        <w:rPr>
          <w:rFonts w:hint="eastAsia"/>
          <w:highlight w:val="none"/>
          <w:lang w:eastAsia="zh-CN"/>
        </w:rPr>
        <w:t>无息</w:t>
      </w:r>
      <w:r>
        <w:rPr>
          <w:highlight w:val="none"/>
        </w:rPr>
        <w:t xml:space="preserve">支付合同总金额的 </w:t>
      </w:r>
      <w:r>
        <w:rPr>
          <w:rFonts w:hint="eastAsia"/>
          <w:highlight w:val="none"/>
          <w:lang w:val="en-US" w:eastAsia="zh-CN"/>
        </w:rPr>
        <w:t>5</w:t>
      </w:r>
      <w:r>
        <w:rPr>
          <w:highlight w:val="none"/>
        </w:rPr>
        <w:t>%。</w:t>
      </w:r>
    </w:p>
    <w:p w14:paraId="2B310B5B">
      <w:pPr>
        <w:pStyle w:val="11"/>
        <w:rPr>
          <w:highlight w:val="none"/>
        </w:rPr>
      </w:pPr>
    </w:p>
    <w:p w14:paraId="32887F58">
      <w:pPr>
        <w:spacing w:line="360" w:lineRule="auto"/>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lang w:eastAsia="zh-CN"/>
        </w:rPr>
        <w:t>）</w:t>
      </w:r>
      <w:r>
        <w:rPr>
          <w:rFonts w:ascii="宋体" w:hAnsi="宋体" w:eastAsia="宋体" w:cs="宋体"/>
          <w:color w:val="auto"/>
          <w:sz w:val="21"/>
          <w:szCs w:val="21"/>
          <w:highlight w:val="none"/>
        </w:rPr>
        <w:t>支付方式：银行转账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乙方要如实开具发票，不得变更开票内容，乙方开具发票出现税务争议时，乙方需承担税款、滞纳金、罚款等赔偿责任以及其他相关责任</w:t>
      </w:r>
    </w:p>
    <w:p w14:paraId="2AFDAC0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通过银行转账方式将款项转入乙方银行账户。</w:t>
      </w:r>
    </w:p>
    <w:p w14:paraId="4812ED0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乙方银行账户信息如下：</w:t>
      </w:r>
    </w:p>
    <w:p w14:paraId="40673D5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账户全称：</w:t>
      </w:r>
    </w:p>
    <w:p w14:paraId="0CB9EE4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账    号： </w:t>
      </w:r>
    </w:p>
    <w:p w14:paraId="7549EB1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开 户 行： </w:t>
      </w:r>
    </w:p>
    <w:p w14:paraId="12CA7E9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甲方仅认可上述指定账户并向该账户付款，甲方有权拒绝向指定账户之外的任何账户付款，并且由此导致的付款延迟责任由乙方承担。</w:t>
      </w:r>
    </w:p>
    <w:p w14:paraId="444632EF">
      <w:pPr>
        <w:numPr>
          <w:ilvl w:val="0"/>
          <w:numId w:val="1"/>
        </w:num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结算方式：验收合格后填写政府采购项目验收单（一式肆份）, 持中标通知书、供货合同、发票（按合同总价直开甲方）、政府采购项目验收单，到甲方办理资金结算。</w:t>
      </w:r>
    </w:p>
    <w:p w14:paraId="2495FAD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1.首次付款：持中标通知书、供货合同、进场证明、等额发票，到甲方办理</w:t>
      </w:r>
      <w:r>
        <w:rPr>
          <w:rFonts w:hint="eastAsia" w:ascii="宋体" w:hAnsi="宋体" w:eastAsia="宋体" w:cs="宋体"/>
          <w:color w:val="auto"/>
          <w:sz w:val="21"/>
          <w:szCs w:val="21"/>
          <w:highlight w:val="none"/>
        </w:rPr>
        <w:t>资金结算。</w:t>
      </w:r>
    </w:p>
    <w:p w14:paraId="5F566324">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2.后期支付：持供货合同、发票、分阶段验收单，到甲方办理资金结算。</w:t>
      </w:r>
    </w:p>
    <w:p w14:paraId="13115D03">
      <w:pPr>
        <w:rPr>
          <w:color w:val="auto"/>
          <w:szCs w:val="21"/>
          <w:highlight w:val="none"/>
        </w:rPr>
      </w:pPr>
      <w:r>
        <w:rPr>
          <w:rFonts w:ascii="宋体" w:hAnsi="宋体" w:eastAsia="宋体" w:cs="宋体"/>
          <w:b/>
          <w:bCs/>
          <w:color w:val="auto"/>
          <w:szCs w:val="21"/>
          <w:highlight w:val="none"/>
        </w:rPr>
        <w:t>四、双方的权利和义务：</w:t>
      </w:r>
    </w:p>
    <w:p w14:paraId="51A352B9">
      <w:pPr>
        <w:spacing w:line="228" w:lineRule="exact"/>
        <w:rPr>
          <w:color w:val="auto"/>
          <w:szCs w:val="21"/>
          <w:highlight w:val="none"/>
        </w:rPr>
      </w:pPr>
    </w:p>
    <w:p w14:paraId="1C0C247A">
      <w:pPr>
        <w:ind w:firstLine="420" w:firstLineChars="200"/>
        <w:outlineLvl w:val="0"/>
        <w:rPr>
          <w:rFonts w:ascii="宋体" w:hAnsi="宋体" w:eastAsia="宋体" w:cs="宋体"/>
          <w:color w:val="auto"/>
          <w:szCs w:val="21"/>
          <w:highlight w:val="none"/>
        </w:rPr>
      </w:pPr>
      <w:r>
        <w:rPr>
          <w:rFonts w:ascii="宋体" w:hAnsi="宋体" w:eastAsia="宋体" w:cs="宋体"/>
          <w:color w:val="auto"/>
          <w:szCs w:val="21"/>
          <w:highlight w:val="none"/>
        </w:rPr>
        <w:t>（一）甲方的权利和义务</w:t>
      </w:r>
    </w:p>
    <w:p w14:paraId="09269D3B">
      <w:pPr>
        <w:spacing w:line="239" w:lineRule="auto"/>
        <w:ind w:left="620"/>
        <w:rPr>
          <w:rFonts w:ascii="宋体" w:hAnsi="宋体" w:eastAsia="宋体" w:cs="宋体"/>
          <w:color w:val="auto"/>
          <w:szCs w:val="21"/>
          <w:highlight w:val="none"/>
        </w:rPr>
      </w:pPr>
    </w:p>
    <w:p w14:paraId="01EA58C7">
      <w:pPr>
        <w:spacing w:line="239" w:lineRule="auto"/>
        <w:ind w:left="620"/>
        <w:rPr>
          <w:color w:val="auto"/>
          <w:szCs w:val="21"/>
          <w:highlight w:val="none"/>
        </w:rPr>
      </w:pPr>
      <w:r>
        <w:rPr>
          <w:rFonts w:ascii="宋体" w:hAnsi="宋体" w:eastAsia="宋体" w:cs="宋体"/>
          <w:color w:val="auto"/>
          <w:szCs w:val="21"/>
          <w:highlight w:val="none"/>
        </w:rPr>
        <w:t>甲方权利：组织使用单位严格按照招标文件及投标文件要求和标准验收。</w:t>
      </w:r>
    </w:p>
    <w:p w14:paraId="5CDBA658">
      <w:pPr>
        <w:spacing w:line="229" w:lineRule="exact"/>
        <w:rPr>
          <w:color w:val="auto"/>
          <w:szCs w:val="21"/>
          <w:highlight w:val="none"/>
        </w:rPr>
      </w:pPr>
    </w:p>
    <w:p w14:paraId="55B1BCF8">
      <w:pPr>
        <w:spacing w:line="239" w:lineRule="auto"/>
        <w:ind w:left="620"/>
        <w:rPr>
          <w:color w:val="auto"/>
          <w:szCs w:val="21"/>
          <w:highlight w:val="none"/>
        </w:rPr>
      </w:pPr>
      <w:r>
        <w:rPr>
          <w:rFonts w:ascii="宋体" w:hAnsi="宋体" w:eastAsia="宋体" w:cs="宋体"/>
          <w:color w:val="auto"/>
          <w:szCs w:val="21"/>
          <w:highlight w:val="none"/>
        </w:rPr>
        <w:t>甲方义务：积极配合乙方验收、培训工作。</w:t>
      </w:r>
    </w:p>
    <w:p w14:paraId="3E6504EF">
      <w:pPr>
        <w:spacing w:line="229" w:lineRule="exact"/>
        <w:rPr>
          <w:color w:val="auto"/>
          <w:szCs w:val="21"/>
          <w:highlight w:val="none"/>
        </w:rPr>
      </w:pPr>
    </w:p>
    <w:p w14:paraId="7164C112">
      <w:pPr>
        <w:spacing w:line="239" w:lineRule="auto"/>
        <w:ind w:left="420"/>
        <w:outlineLvl w:val="0"/>
        <w:rPr>
          <w:color w:val="auto"/>
          <w:szCs w:val="21"/>
          <w:highlight w:val="none"/>
        </w:rPr>
      </w:pPr>
      <w:r>
        <w:rPr>
          <w:rFonts w:ascii="宋体" w:hAnsi="宋体" w:eastAsia="宋体" w:cs="宋体"/>
          <w:color w:val="auto"/>
          <w:szCs w:val="21"/>
          <w:highlight w:val="none"/>
        </w:rPr>
        <w:t>（二）乙方的权利和义务</w:t>
      </w:r>
    </w:p>
    <w:p w14:paraId="3F041DC6">
      <w:pPr>
        <w:spacing w:line="229" w:lineRule="exact"/>
        <w:rPr>
          <w:color w:val="auto"/>
          <w:szCs w:val="21"/>
          <w:highlight w:val="none"/>
        </w:rPr>
      </w:pPr>
    </w:p>
    <w:p w14:paraId="4FF6EB43">
      <w:pPr>
        <w:spacing w:line="239" w:lineRule="auto"/>
        <w:ind w:left="740"/>
        <w:rPr>
          <w:color w:val="auto"/>
          <w:szCs w:val="21"/>
          <w:highlight w:val="none"/>
        </w:rPr>
      </w:pPr>
      <w:r>
        <w:rPr>
          <w:rFonts w:ascii="宋体" w:hAnsi="宋体" w:eastAsia="宋体" w:cs="宋体"/>
          <w:color w:val="auto"/>
          <w:szCs w:val="21"/>
          <w:highlight w:val="none"/>
        </w:rPr>
        <w:t>乙方权利：按照合同约定要求甲方及时付款。</w:t>
      </w:r>
    </w:p>
    <w:p w14:paraId="0A85C84F">
      <w:pPr>
        <w:spacing w:line="241" w:lineRule="exact"/>
        <w:rPr>
          <w:color w:val="auto"/>
          <w:szCs w:val="21"/>
          <w:highlight w:val="none"/>
        </w:rPr>
      </w:pPr>
    </w:p>
    <w:p w14:paraId="73F297B9">
      <w:pPr>
        <w:spacing w:line="360" w:lineRule="auto"/>
        <w:ind w:firstLine="735" w:firstLineChars="350"/>
        <w:rPr>
          <w:rFonts w:hint="eastAsia" w:eastAsia="宋体"/>
          <w:color w:val="auto"/>
          <w:szCs w:val="21"/>
          <w:highlight w:val="none"/>
          <w:lang w:eastAsia="zh-CN"/>
        </w:rPr>
      </w:pPr>
      <w:r>
        <w:rPr>
          <w:rFonts w:ascii="宋体" w:hAnsi="宋体" w:eastAsia="宋体" w:cs="宋体"/>
          <w:color w:val="auto"/>
          <w:szCs w:val="21"/>
          <w:highlight w:val="none"/>
        </w:rPr>
        <w:t>乙方义务：按照合同约定时间，按甲方指定地点提供服务，配合验收工作，并负责调试、提供现场软件培训，保证使用人员正常操作各种功能。</w:t>
      </w:r>
      <w:r>
        <w:rPr>
          <w:rFonts w:hint="eastAsia" w:ascii="宋体" w:hAnsi="宋体" w:eastAsia="宋体" w:cs="宋体"/>
          <w:color w:val="auto"/>
          <w:szCs w:val="21"/>
          <w:highlight w:val="none"/>
          <w:lang w:eastAsia="zh-CN"/>
        </w:rPr>
        <w:t>提供包括系统软件、应用软件、安装调试等内容培训，保证不同层面的医院工作人员能独立使用管理、维护和配置系统，以便整个系统正常、安全运行。</w:t>
      </w:r>
    </w:p>
    <w:p w14:paraId="72EE255E">
      <w:pPr>
        <w:spacing w:line="229" w:lineRule="exact"/>
        <w:rPr>
          <w:color w:val="auto"/>
          <w:szCs w:val="21"/>
          <w:highlight w:val="none"/>
        </w:rPr>
      </w:pPr>
    </w:p>
    <w:p w14:paraId="1596684B">
      <w:pPr>
        <w:spacing w:line="239" w:lineRule="auto"/>
        <w:rPr>
          <w:color w:val="auto"/>
          <w:szCs w:val="21"/>
          <w:highlight w:val="none"/>
        </w:rPr>
      </w:pPr>
      <w:r>
        <w:rPr>
          <w:rFonts w:ascii="宋体" w:hAnsi="宋体" w:eastAsia="宋体" w:cs="宋体"/>
          <w:b/>
          <w:bCs/>
          <w:color w:val="auto"/>
          <w:szCs w:val="21"/>
          <w:highlight w:val="none"/>
        </w:rPr>
        <w:t>五、交货条件：</w:t>
      </w:r>
    </w:p>
    <w:p w14:paraId="47097514">
      <w:pPr>
        <w:spacing w:line="229" w:lineRule="exact"/>
        <w:rPr>
          <w:color w:val="auto"/>
          <w:szCs w:val="21"/>
          <w:highlight w:val="none"/>
        </w:rPr>
      </w:pPr>
    </w:p>
    <w:p w14:paraId="43C2C4DA">
      <w:pPr>
        <w:spacing w:line="239" w:lineRule="auto"/>
        <w:ind w:left="420"/>
        <w:rPr>
          <w:color w:val="auto"/>
          <w:szCs w:val="21"/>
          <w:highlight w:val="none"/>
        </w:rPr>
      </w:pPr>
      <w:r>
        <w:rPr>
          <w:rFonts w:ascii="宋体" w:hAnsi="宋体" w:eastAsia="宋体" w:cs="宋体"/>
          <w:color w:val="auto"/>
          <w:szCs w:val="21"/>
          <w:highlight w:val="none"/>
        </w:rPr>
        <w:t>（一）服务地点：甲方指定地点。</w:t>
      </w:r>
    </w:p>
    <w:p w14:paraId="55CE7337">
      <w:pPr>
        <w:spacing w:line="229" w:lineRule="exact"/>
        <w:rPr>
          <w:color w:val="auto"/>
          <w:szCs w:val="21"/>
          <w:highlight w:val="none"/>
        </w:rPr>
      </w:pPr>
    </w:p>
    <w:p w14:paraId="28326568">
      <w:pPr>
        <w:spacing w:line="239" w:lineRule="auto"/>
        <w:ind w:left="420"/>
        <w:rPr>
          <w:color w:val="auto"/>
          <w:szCs w:val="21"/>
          <w:highlight w:val="none"/>
        </w:rPr>
      </w:pPr>
      <w:r>
        <w:rPr>
          <w:rFonts w:ascii="宋体" w:hAnsi="宋体" w:eastAsia="宋体" w:cs="宋体"/>
          <w:color w:val="auto"/>
          <w:szCs w:val="21"/>
          <w:highlight w:val="none"/>
        </w:rPr>
        <w:t>（二）</w:t>
      </w:r>
      <w:r>
        <w:rPr>
          <w:rFonts w:hint="eastAsia" w:ascii="宋体" w:hAnsi="宋体" w:eastAsia="宋体" w:cs="宋体"/>
          <w:color w:val="auto"/>
          <w:szCs w:val="21"/>
          <w:highlight w:val="none"/>
          <w:lang w:val="en-US" w:eastAsia="zh-CN"/>
        </w:rPr>
        <w:t>交付期</w:t>
      </w:r>
      <w:r>
        <w:rPr>
          <w:rFonts w:ascii="宋体" w:hAnsi="宋体" w:eastAsia="宋体" w:cs="宋体"/>
          <w:color w:val="auto"/>
          <w:szCs w:val="21"/>
          <w:highlight w:val="none"/>
        </w:rPr>
        <w:t>：</w:t>
      </w:r>
      <w:r>
        <w:rPr>
          <w:rFonts w:hint="eastAsia" w:ascii="宋体" w:hAnsi="宋体" w:eastAsia="宋体" w:cs="宋体"/>
          <w:color w:val="auto"/>
          <w:szCs w:val="21"/>
          <w:highlight w:val="none"/>
        </w:rPr>
        <w:t>合同签订后6个月内，完成本项目内容整体交付工作</w:t>
      </w:r>
      <w:r>
        <w:rPr>
          <w:rFonts w:ascii="宋体" w:hAnsi="宋体" w:eastAsia="宋体" w:cs="宋体"/>
          <w:color w:val="auto"/>
          <w:szCs w:val="21"/>
          <w:highlight w:val="none"/>
        </w:rPr>
        <w:t>；</w:t>
      </w:r>
    </w:p>
    <w:p w14:paraId="0C21372A">
      <w:pPr>
        <w:spacing w:line="239" w:lineRule="auto"/>
        <w:rPr>
          <w:color w:val="auto"/>
          <w:szCs w:val="21"/>
          <w:highlight w:val="none"/>
        </w:rPr>
      </w:pPr>
      <w:r>
        <w:rPr>
          <w:rFonts w:hint="eastAsia" w:ascii="宋体" w:hAnsi="宋体" w:eastAsia="宋体" w:cs="宋体"/>
          <w:b/>
          <w:bCs/>
          <w:color w:val="auto"/>
          <w:szCs w:val="21"/>
          <w:highlight w:val="none"/>
          <w:lang w:val="en-US" w:eastAsia="zh-CN"/>
        </w:rPr>
        <w:t>六</w:t>
      </w:r>
      <w:r>
        <w:rPr>
          <w:rFonts w:ascii="宋体" w:hAnsi="宋体" w:eastAsia="宋体" w:cs="宋体"/>
          <w:b/>
          <w:bCs/>
          <w:color w:val="auto"/>
          <w:szCs w:val="21"/>
          <w:highlight w:val="none"/>
        </w:rPr>
        <w:t>、质量保证</w:t>
      </w:r>
    </w:p>
    <w:p w14:paraId="6F1F5B9F">
      <w:pPr>
        <w:spacing w:line="229" w:lineRule="exact"/>
        <w:rPr>
          <w:color w:val="auto"/>
          <w:szCs w:val="21"/>
          <w:highlight w:val="none"/>
        </w:rPr>
      </w:pPr>
    </w:p>
    <w:p w14:paraId="3F2D12AE">
      <w:pPr>
        <w:spacing w:line="239" w:lineRule="auto"/>
        <w:ind w:left="420"/>
        <w:rPr>
          <w:color w:val="auto"/>
          <w:szCs w:val="21"/>
          <w:highlight w:val="none"/>
        </w:rPr>
      </w:pPr>
      <w:r>
        <w:rPr>
          <w:rFonts w:ascii="宋体" w:hAnsi="宋体" w:eastAsia="宋体" w:cs="宋体"/>
          <w:color w:val="auto"/>
          <w:szCs w:val="21"/>
          <w:highlight w:val="none"/>
        </w:rPr>
        <w:t>乙方所供</w:t>
      </w:r>
      <w:r>
        <w:rPr>
          <w:rFonts w:hint="eastAsia" w:ascii="宋体" w:hAnsi="宋体" w:eastAsia="宋体" w:cs="宋体"/>
          <w:color w:val="auto"/>
          <w:szCs w:val="21"/>
          <w:highlight w:val="none"/>
          <w:lang w:eastAsia="zh-CN"/>
        </w:rPr>
        <w:t>服务</w:t>
      </w:r>
      <w:r>
        <w:rPr>
          <w:rFonts w:ascii="宋体" w:hAnsi="宋体" w:eastAsia="宋体" w:cs="宋体"/>
          <w:color w:val="auto"/>
          <w:szCs w:val="21"/>
          <w:highlight w:val="none"/>
        </w:rPr>
        <w:t>必须执行下列条款：</w:t>
      </w:r>
    </w:p>
    <w:p w14:paraId="302FB2EF">
      <w:pPr>
        <w:spacing w:line="241" w:lineRule="exact"/>
        <w:rPr>
          <w:color w:val="auto"/>
          <w:szCs w:val="21"/>
          <w:highlight w:val="none"/>
        </w:rPr>
      </w:pPr>
    </w:p>
    <w:p w14:paraId="4590D942">
      <w:pPr>
        <w:numPr>
          <w:ilvl w:val="0"/>
          <w:numId w:val="2"/>
        </w:numPr>
        <w:spacing w:line="438" w:lineRule="auto"/>
        <w:ind w:left="420" w:right="440" w:rightChars="0"/>
        <w:rPr>
          <w:rFonts w:ascii="宋体" w:hAnsi="宋体" w:eastAsia="宋体" w:cs="宋体"/>
          <w:color w:val="auto"/>
          <w:szCs w:val="21"/>
          <w:highlight w:val="none"/>
        </w:rPr>
      </w:pPr>
      <w:r>
        <w:rPr>
          <w:rFonts w:ascii="宋体" w:hAnsi="宋体" w:eastAsia="宋体" w:cs="宋体"/>
          <w:color w:val="auto"/>
          <w:szCs w:val="21"/>
          <w:highlight w:val="none"/>
        </w:rPr>
        <w:t>保证技术质量性能可靠、进货渠道正常，配置合理，全面满足要求。</w:t>
      </w:r>
    </w:p>
    <w:p w14:paraId="19F5BACB">
      <w:pPr>
        <w:numPr>
          <w:ilvl w:val="0"/>
          <w:numId w:val="0"/>
        </w:numPr>
        <w:spacing w:line="438" w:lineRule="auto"/>
        <w:ind w:right="2640" w:rightChars="0"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（二）符合国家有关规范要求，确保达到最佳运行态。</w:t>
      </w:r>
    </w:p>
    <w:p w14:paraId="0B61DA36">
      <w:pPr>
        <w:spacing w:line="438" w:lineRule="auto"/>
        <w:ind w:left="420" w:right="2640"/>
        <w:rPr>
          <w:color w:val="auto"/>
          <w:szCs w:val="21"/>
          <w:highlight w:val="none"/>
        </w:rPr>
      </w:pPr>
      <w:r>
        <w:rPr>
          <w:rFonts w:ascii="宋体" w:hAnsi="宋体" w:eastAsia="宋体" w:cs="宋体"/>
          <w:color w:val="auto"/>
          <w:szCs w:val="21"/>
          <w:highlight w:val="none"/>
        </w:rPr>
        <w:t>（三）具有良好的外观，适合安装场所的使用。</w:t>
      </w:r>
    </w:p>
    <w:p w14:paraId="2EF5399F">
      <w:pPr>
        <w:spacing w:line="32" w:lineRule="exact"/>
        <w:rPr>
          <w:color w:val="auto"/>
          <w:szCs w:val="21"/>
          <w:highlight w:val="none"/>
        </w:rPr>
      </w:pPr>
    </w:p>
    <w:p w14:paraId="18A5A4AC">
      <w:pPr>
        <w:spacing w:line="239" w:lineRule="auto"/>
        <w:ind w:left="420"/>
        <w:rPr>
          <w:color w:val="auto"/>
          <w:szCs w:val="21"/>
          <w:highlight w:val="none"/>
        </w:rPr>
      </w:pPr>
      <w:r>
        <w:rPr>
          <w:rFonts w:ascii="宋体" w:hAnsi="宋体" w:eastAsia="宋体" w:cs="宋体"/>
          <w:color w:val="auto"/>
          <w:szCs w:val="21"/>
          <w:highlight w:val="none"/>
        </w:rPr>
        <w:t>（四）自安装、调试正常运行并验收合格之日起：</w:t>
      </w:r>
    </w:p>
    <w:p w14:paraId="352E1A72">
      <w:pPr>
        <w:spacing w:line="453" w:lineRule="auto"/>
        <w:jc w:val="both"/>
        <w:rPr>
          <w:rFonts w:hint="eastAsia"/>
          <w:color w:val="auto"/>
          <w:szCs w:val="21"/>
          <w:highlight w:val="none"/>
        </w:rPr>
      </w:pPr>
    </w:p>
    <w:p w14:paraId="5485DBF2">
      <w:pPr>
        <w:numPr>
          <w:ilvl w:val="0"/>
          <w:numId w:val="0"/>
        </w:numPr>
        <w:spacing w:line="453"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1、供货商应告知甲方产品的使用、维护、保养等有关注意事项，并根据招投标文件要求对甲方的人员进行培训。</w:t>
      </w:r>
    </w:p>
    <w:p w14:paraId="3B630F02">
      <w:pPr>
        <w:numPr>
          <w:ilvl w:val="0"/>
          <w:numId w:val="0"/>
        </w:numPr>
        <w:spacing w:line="453"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软件系统质保期内，所有软件均享受免费维护服务。在使用过程中若产品发生质量问题或故障，在接到采购人通知后立即响应，2个小时到达故障现场处理，一般故障处理时限不超过6小时。重大故障处理时限不超过12小时，若24小时内不能修复，必须提供应急必选使用方案。提供7*24小时系统故障电话响应，远程处理，免费维护的技术服务。</w:t>
      </w:r>
    </w:p>
    <w:p w14:paraId="60070994">
      <w:pPr>
        <w:spacing w:line="453" w:lineRule="auto"/>
        <w:ind w:firstLine="420" w:firstLineChars="200"/>
        <w:jc w:val="both"/>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w:t>
      </w:r>
      <w:r>
        <w:rPr>
          <w:rFonts w:hint="eastAsia" w:ascii="宋体" w:hAnsi="宋体" w:eastAsia="宋体" w:cs="宋体"/>
          <w:bCs/>
          <w:color w:val="000000"/>
          <w:kern w:val="0"/>
          <w:sz w:val="21"/>
          <w:szCs w:val="21"/>
          <w:highlight w:val="none"/>
        </w:rPr>
        <w:t>质保期内，在不改变软件整体架构前提下，应满足所提供软件的功能模块个性化需求；应提供系统扩充、升级方面的技术支持服务</w:t>
      </w:r>
      <w:r>
        <w:rPr>
          <w:rFonts w:hint="eastAsia" w:ascii="宋体" w:hAnsi="宋体" w:eastAsia="宋体" w:cs="宋体"/>
          <w:bCs/>
          <w:color w:val="000000"/>
          <w:kern w:val="0"/>
          <w:sz w:val="21"/>
          <w:szCs w:val="21"/>
          <w:highlight w:val="none"/>
          <w:lang w:eastAsia="zh-CN"/>
        </w:rPr>
        <w:t>，</w:t>
      </w:r>
      <w:r>
        <w:rPr>
          <w:rFonts w:hint="eastAsia" w:ascii="宋体" w:hAnsi="宋体" w:eastAsia="宋体" w:cs="宋体"/>
          <w:bCs/>
          <w:color w:val="000000"/>
          <w:kern w:val="0"/>
          <w:sz w:val="21"/>
          <w:szCs w:val="21"/>
          <w:highlight w:val="none"/>
        </w:rPr>
        <w:t>提供个性化需求</w:t>
      </w:r>
      <w:r>
        <w:rPr>
          <w:rFonts w:hint="eastAsia" w:ascii="宋体" w:hAnsi="宋体" w:eastAsia="宋体" w:cs="宋体"/>
          <w:color w:val="auto"/>
          <w:szCs w:val="21"/>
          <w:highlight w:val="none"/>
        </w:rPr>
        <w:t>。</w:t>
      </w:r>
    </w:p>
    <w:p w14:paraId="1257CB24">
      <w:pPr>
        <w:spacing w:line="48" w:lineRule="exact"/>
        <w:rPr>
          <w:color w:val="auto"/>
          <w:szCs w:val="21"/>
          <w:highlight w:val="none"/>
        </w:rPr>
      </w:pPr>
    </w:p>
    <w:p w14:paraId="08E41E1D">
      <w:pPr>
        <w:spacing w:line="458" w:lineRule="auto"/>
        <w:ind w:firstLine="42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4、供应商需保证系统运行正常。</w:t>
      </w:r>
    </w:p>
    <w:p w14:paraId="6D485A4F">
      <w:pPr>
        <w:spacing w:line="458" w:lineRule="auto"/>
        <w:ind w:firstLine="420"/>
        <w:jc w:val="both"/>
        <w:rPr>
          <w:rFonts w:hint="eastAsia" w:ascii="宋体" w:hAnsi="宋体" w:eastAsia="宋体" w:cs="宋体"/>
          <w:color w:val="auto"/>
          <w:szCs w:val="21"/>
          <w:highlight w:val="none"/>
        </w:rPr>
      </w:pPr>
      <w:r>
        <w:rPr>
          <w:rFonts w:ascii="宋体" w:hAnsi="宋体" w:eastAsia="宋体" w:cs="宋体"/>
          <w:color w:val="auto"/>
          <w:szCs w:val="21"/>
          <w:highlight w:val="none"/>
        </w:rPr>
        <w:t>（五）设备因产品质量或设计缺陷等问题，而发生的医疗差错或医疗纠纷而引起的经济责任及法律责任由乙方及生产厂商负全部责任，如果造成损失，由乙方赔偿甲方的全部损失包括直接损失和间接损失。包括给第三人（病人）造成人身损害、财产损失及其医院支出的相关费用等），如在</w:t>
      </w:r>
      <w:r>
        <w:rPr>
          <w:rFonts w:hint="eastAsia" w:ascii="宋体" w:hAnsi="宋体" w:eastAsia="宋体" w:cs="宋体"/>
          <w:color w:val="auto"/>
          <w:szCs w:val="21"/>
          <w:highlight w:val="none"/>
          <w:lang w:eastAsia="zh-CN"/>
        </w:rPr>
        <w:t>服务期</w:t>
      </w:r>
      <w:r>
        <w:rPr>
          <w:rFonts w:ascii="宋体" w:hAnsi="宋体" w:eastAsia="宋体" w:cs="宋体"/>
          <w:color w:val="auto"/>
          <w:szCs w:val="21"/>
          <w:highlight w:val="none"/>
        </w:rPr>
        <w:t>内，甲方可以从</w:t>
      </w:r>
      <w:r>
        <w:rPr>
          <w:rFonts w:hint="eastAsia" w:ascii="宋体" w:hAnsi="宋体" w:eastAsia="宋体" w:cs="宋体"/>
          <w:color w:val="auto"/>
          <w:szCs w:val="21"/>
          <w:highlight w:val="none"/>
          <w:lang w:eastAsia="zh-CN"/>
        </w:rPr>
        <w:t>服务</w:t>
      </w:r>
      <w:r>
        <w:rPr>
          <w:rFonts w:ascii="宋体" w:hAnsi="宋体" w:eastAsia="宋体" w:cs="宋体"/>
          <w:color w:val="auto"/>
          <w:szCs w:val="21"/>
          <w:highlight w:val="none"/>
        </w:rPr>
        <w:t>金中直接扣除</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服务</w:t>
      </w:r>
      <w:r>
        <w:rPr>
          <w:rFonts w:hint="eastAsia" w:ascii="宋体" w:hAnsi="宋体" w:eastAsia="宋体" w:cs="宋体"/>
          <w:color w:val="auto"/>
          <w:szCs w:val="21"/>
          <w:highlight w:val="none"/>
        </w:rPr>
        <w:t>金</w:t>
      </w:r>
      <w:r>
        <w:rPr>
          <w:rFonts w:ascii="宋体" w:hAnsi="宋体" w:eastAsia="宋体" w:cs="宋体"/>
          <w:color w:val="auto"/>
          <w:szCs w:val="21"/>
          <w:highlight w:val="none"/>
        </w:rPr>
        <w:t>不足以弥补甲方损失的</w:t>
      </w:r>
      <w:r>
        <w:rPr>
          <w:rFonts w:hint="eastAsia" w:ascii="宋体" w:hAnsi="宋体" w:eastAsia="宋体" w:cs="宋体"/>
          <w:color w:val="auto"/>
          <w:szCs w:val="21"/>
          <w:highlight w:val="none"/>
        </w:rPr>
        <w:t>，</w:t>
      </w:r>
      <w:r>
        <w:rPr>
          <w:rFonts w:ascii="宋体" w:hAnsi="宋体" w:eastAsia="宋体" w:cs="宋体"/>
          <w:color w:val="auto"/>
          <w:szCs w:val="21"/>
          <w:highlight w:val="none"/>
        </w:rPr>
        <w:t>甲方有权继续追偿。扣除后乙方应及时补足</w:t>
      </w:r>
      <w:r>
        <w:rPr>
          <w:rFonts w:hint="eastAsia" w:ascii="宋体" w:hAnsi="宋体" w:eastAsia="宋体" w:cs="宋体"/>
          <w:color w:val="auto"/>
          <w:szCs w:val="21"/>
          <w:highlight w:val="none"/>
          <w:lang w:eastAsia="zh-CN"/>
        </w:rPr>
        <w:t>服务</w:t>
      </w:r>
      <w:r>
        <w:rPr>
          <w:rFonts w:ascii="宋体" w:hAnsi="宋体" w:eastAsia="宋体" w:cs="宋体"/>
          <w:color w:val="auto"/>
          <w:szCs w:val="21"/>
          <w:highlight w:val="none"/>
        </w:rPr>
        <w:t>金的</w:t>
      </w:r>
      <w:r>
        <w:rPr>
          <w:rFonts w:hint="eastAsia" w:ascii="宋体" w:hAnsi="宋体" w:eastAsia="宋体" w:cs="宋体"/>
          <w:color w:val="auto"/>
          <w:szCs w:val="21"/>
          <w:highlight w:val="none"/>
        </w:rPr>
        <w:t>不</w:t>
      </w:r>
      <w:r>
        <w:rPr>
          <w:rFonts w:ascii="宋体" w:hAnsi="宋体" w:eastAsia="宋体" w:cs="宋体"/>
          <w:color w:val="auto"/>
          <w:szCs w:val="21"/>
          <w:highlight w:val="none"/>
        </w:rPr>
        <w:t>足部分</w:t>
      </w:r>
      <w:r>
        <w:rPr>
          <w:rFonts w:hint="eastAsia" w:ascii="宋体" w:hAnsi="宋体" w:eastAsia="宋体" w:cs="宋体"/>
          <w:color w:val="auto"/>
          <w:szCs w:val="21"/>
          <w:highlight w:val="none"/>
        </w:rPr>
        <w:t>。</w:t>
      </w:r>
    </w:p>
    <w:p w14:paraId="7979DB31">
      <w:pPr>
        <w:ind w:firstLine="420" w:firstLineChars="200"/>
        <w:rPr>
          <w:rFonts w:hint="eastAsia" w:eastAsia="宋体"/>
          <w:color w:val="auto"/>
          <w:szCs w:val="21"/>
          <w:highlight w:val="none"/>
        </w:rPr>
      </w:pPr>
      <w:r>
        <w:rPr>
          <w:rFonts w:hint="eastAsia" w:ascii="宋体" w:hAnsi="宋体" w:eastAsia="宋体" w:cs="宋体"/>
          <w:color w:val="auto"/>
          <w:szCs w:val="21"/>
          <w:highlight w:val="none"/>
        </w:rPr>
        <w:t>（六）</w:t>
      </w:r>
      <w:r>
        <w:rPr>
          <w:rFonts w:hint="eastAsia" w:ascii="宋体" w:hAnsi="宋体" w:eastAsia="宋体" w:cs="宋体"/>
          <w:color w:val="auto"/>
          <w:szCs w:val="21"/>
          <w:highlight w:val="none"/>
          <w:lang w:eastAsia="zh-CN"/>
        </w:rPr>
        <w:t>服务期</w:t>
      </w:r>
      <w:r>
        <w:rPr>
          <w:rFonts w:hint="eastAsia" w:ascii="宋体" w:hAnsi="宋体" w:eastAsia="宋体" w:cs="宋体"/>
          <w:color w:val="auto"/>
          <w:szCs w:val="21"/>
          <w:highlight w:val="none"/>
        </w:rPr>
        <w:t>内，乙方未在约定的时间内未响应或未解决问题，甲方有权委托第三方进行维修，费用由乙方承担。</w:t>
      </w:r>
    </w:p>
    <w:p w14:paraId="64F5DE2D">
      <w:pPr>
        <w:spacing w:line="239" w:lineRule="auto"/>
        <w:rPr>
          <w:rFonts w:hint="eastAsia" w:ascii="宋体" w:hAnsi="宋体" w:eastAsia="宋体" w:cs="宋体"/>
          <w:b/>
          <w:bCs/>
          <w:color w:val="auto"/>
          <w:szCs w:val="21"/>
          <w:highlight w:val="none"/>
          <w:lang w:val="en-US" w:eastAsia="zh-CN"/>
        </w:rPr>
      </w:pPr>
    </w:p>
    <w:p w14:paraId="2766FA1E">
      <w:pPr>
        <w:spacing w:line="239" w:lineRule="auto"/>
        <w:rPr>
          <w:color w:val="auto"/>
          <w:szCs w:val="21"/>
          <w:highlight w:val="none"/>
        </w:rPr>
      </w:pPr>
      <w:r>
        <w:rPr>
          <w:rFonts w:hint="eastAsia" w:ascii="宋体" w:hAnsi="宋体" w:eastAsia="宋体" w:cs="宋体"/>
          <w:b/>
          <w:bCs/>
          <w:color w:val="auto"/>
          <w:szCs w:val="21"/>
          <w:highlight w:val="none"/>
          <w:lang w:val="en-US" w:eastAsia="zh-CN"/>
        </w:rPr>
        <w:t>七</w:t>
      </w:r>
      <w:r>
        <w:rPr>
          <w:rFonts w:ascii="宋体" w:hAnsi="宋体" w:eastAsia="宋体" w:cs="宋体"/>
          <w:b/>
          <w:bCs/>
          <w:color w:val="auto"/>
          <w:szCs w:val="21"/>
          <w:highlight w:val="none"/>
        </w:rPr>
        <w:t>、售后服务</w:t>
      </w:r>
    </w:p>
    <w:p w14:paraId="632CF6BF">
      <w:pPr>
        <w:spacing w:line="229" w:lineRule="exact"/>
        <w:rPr>
          <w:color w:val="auto"/>
          <w:szCs w:val="21"/>
          <w:highlight w:val="none"/>
        </w:rPr>
      </w:pPr>
    </w:p>
    <w:p w14:paraId="07C3E57F">
      <w:pPr>
        <w:spacing w:line="360" w:lineRule="auto"/>
        <w:ind w:left="420"/>
        <w:rPr>
          <w:color w:val="auto"/>
          <w:szCs w:val="21"/>
          <w:highlight w:val="none"/>
        </w:rPr>
      </w:pPr>
      <w:r>
        <w:rPr>
          <w:rFonts w:ascii="宋体" w:hAnsi="宋体" w:eastAsia="宋体" w:cs="宋体"/>
          <w:color w:val="auto"/>
          <w:szCs w:val="21"/>
          <w:highlight w:val="none"/>
        </w:rPr>
        <w:t>乙方所供提供以下售后服务：</w:t>
      </w:r>
    </w:p>
    <w:p w14:paraId="23978915">
      <w:pPr>
        <w:keepNext w:val="0"/>
        <w:keepLines w:val="0"/>
        <w:pageBreakBefore w:val="0"/>
        <w:widowControl w:val="0"/>
        <w:kinsoku/>
        <w:wordWrap/>
        <w:overflowPunct/>
        <w:topLinePunct w:val="0"/>
        <w:autoSpaceDE/>
        <w:autoSpaceDN/>
        <w:bidi w:val="0"/>
        <w:adjustRightInd/>
        <w:snapToGrid/>
        <w:spacing w:line="360" w:lineRule="auto"/>
        <w:ind w:left="0" w:right="0"/>
        <w:textAlignment w:val="auto"/>
        <w:outlineLvl w:val="0"/>
        <w:rPr>
          <w:color w:val="auto"/>
          <w:szCs w:val="21"/>
          <w:highlight w:val="none"/>
        </w:rPr>
      </w:pPr>
      <w:r>
        <w:rPr>
          <w:rFonts w:ascii="宋体" w:hAnsi="宋体" w:eastAsia="宋体" w:cs="宋体"/>
          <w:color w:val="auto"/>
          <w:szCs w:val="21"/>
          <w:highlight w:val="none"/>
        </w:rPr>
        <w:t>（一）</w:t>
      </w:r>
      <w:r>
        <w:rPr>
          <w:rFonts w:hint="eastAsia" w:ascii="宋体" w:hAnsi="宋体" w:eastAsia="宋体" w:cs="宋体"/>
          <w:b w:val="0"/>
          <w:bCs w:val="0"/>
          <w:snapToGrid w:val="0"/>
          <w:color w:val="000000"/>
          <w:kern w:val="0"/>
          <w:sz w:val="21"/>
          <w:szCs w:val="21"/>
          <w:highlight w:val="none"/>
          <w:lang w:val="en-US" w:eastAsia="zh-CN" w:bidi="ar-SA"/>
        </w:rPr>
        <w:t>质保期</w:t>
      </w:r>
      <w:r>
        <w:rPr>
          <w:rFonts w:ascii="宋体" w:hAnsi="宋体" w:eastAsia="宋体" w:cs="宋体"/>
          <w:color w:val="auto"/>
          <w:szCs w:val="21"/>
          <w:highlight w:val="none"/>
        </w:rPr>
        <w:t>内：</w:t>
      </w:r>
    </w:p>
    <w:p w14:paraId="186DFF92">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b w:val="0"/>
          <w:bCs w:val="0"/>
          <w:color w:val="000000"/>
          <w:sz w:val="21"/>
          <w:szCs w:val="21"/>
          <w:highlight w:val="none"/>
          <w:lang w:eastAsia="zh-CN"/>
        </w:rPr>
      </w:pPr>
      <w:r>
        <w:rPr>
          <w:rFonts w:hint="eastAsia" w:ascii="宋体" w:hAnsi="宋体" w:eastAsia="宋体" w:cs="宋体"/>
          <w:b w:val="0"/>
          <w:bCs w:val="0"/>
          <w:color w:val="000000"/>
          <w:sz w:val="21"/>
          <w:szCs w:val="21"/>
          <w:highlight w:val="none"/>
        </w:rPr>
        <w:t>1、提供7*24小时的维护和故障解决, 在实施阶段必须保障1人以上驻场服务</w:t>
      </w:r>
      <w:r>
        <w:rPr>
          <w:rFonts w:hint="eastAsia" w:ascii="宋体" w:hAnsi="宋体" w:eastAsia="宋体" w:cs="宋体"/>
          <w:b w:val="0"/>
          <w:bCs w:val="0"/>
          <w:color w:val="000000"/>
          <w:sz w:val="21"/>
          <w:szCs w:val="21"/>
          <w:highlight w:val="none"/>
          <w:lang w:eastAsia="zh-CN"/>
        </w:rPr>
        <w:t>。</w:t>
      </w:r>
    </w:p>
    <w:p w14:paraId="7458A031">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b w:val="0"/>
          <w:bCs w:val="0"/>
          <w:color w:val="000000"/>
          <w:sz w:val="21"/>
          <w:szCs w:val="21"/>
          <w:highlight w:val="none"/>
        </w:rPr>
      </w:pPr>
      <w:r>
        <w:rPr>
          <w:rFonts w:hint="eastAsia" w:ascii="宋体" w:hAnsi="宋体" w:eastAsia="宋体" w:cs="宋体"/>
          <w:b w:val="0"/>
          <w:bCs w:val="0"/>
          <w:color w:val="000000"/>
          <w:sz w:val="21"/>
          <w:szCs w:val="21"/>
          <w:highlight w:val="none"/>
        </w:rPr>
        <w:t>2、</w:t>
      </w:r>
      <w:r>
        <w:rPr>
          <w:rFonts w:hint="eastAsia" w:ascii="宋体" w:hAnsi="宋体" w:eastAsia="宋体" w:cs="宋体"/>
          <w:color w:val="auto"/>
          <w:szCs w:val="21"/>
          <w:highlight w:val="none"/>
          <w:lang w:val="en-US" w:eastAsia="zh-CN"/>
        </w:rPr>
        <w:t>在使用过程中若产品发生质量问题或故障，在接到采购人通知后立即响应，2个小时到达故障现场处理，一般故障处理时限不超过6小时。重大故障处理时限不超过12小时，若24小时内不能修复，必须提供应急必选使用方案</w:t>
      </w:r>
      <w:r>
        <w:rPr>
          <w:rFonts w:hint="eastAsia" w:ascii="宋体" w:hAnsi="宋体" w:eastAsia="宋体" w:cs="宋体"/>
          <w:b w:val="0"/>
          <w:bCs w:val="0"/>
          <w:color w:val="000000"/>
          <w:sz w:val="21"/>
          <w:szCs w:val="21"/>
          <w:highlight w:val="none"/>
        </w:rPr>
        <w:t>。</w:t>
      </w:r>
    </w:p>
    <w:p w14:paraId="7038837B">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b w:val="0"/>
          <w:bCs w:val="0"/>
          <w:color w:val="000000"/>
          <w:sz w:val="21"/>
          <w:szCs w:val="21"/>
          <w:highlight w:val="none"/>
        </w:rPr>
      </w:pPr>
      <w:r>
        <w:rPr>
          <w:rFonts w:hint="eastAsia" w:ascii="宋体" w:hAnsi="宋体" w:eastAsia="宋体" w:cs="宋体"/>
          <w:b w:val="0"/>
          <w:bCs w:val="0"/>
          <w:color w:val="000000"/>
          <w:sz w:val="21"/>
          <w:szCs w:val="21"/>
          <w:highlight w:val="none"/>
        </w:rPr>
        <w:t>3、在维护期内每季度不少于3次巡检,</w:t>
      </w:r>
      <w:r>
        <w:rPr>
          <w:rFonts w:hint="eastAsia" w:ascii="宋体" w:hAnsi="宋体" w:eastAsia="宋体" w:cs="宋体"/>
          <w:b w:val="0"/>
          <w:bCs w:val="0"/>
          <w:color w:val="000000"/>
          <w:sz w:val="21"/>
          <w:szCs w:val="21"/>
          <w:highlight w:val="none"/>
          <w:lang w:val="en-US" w:eastAsia="zh-CN"/>
        </w:rPr>
        <w:t>质保期</w:t>
      </w:r>
      <w:r>
        <w:rPr>
          <w:rFonts w:hint="eastAsia" w:ascii="宋体" w:hAnsi="宋体" w:eastAsia="宋体" w:cs="宋体"/>
          <w:b w:val="0"/>
          <w:bCs w:val="0"/>
          <w:color w:val="000000"/>
          <w:sz w:val="21"/>
          <w:szCs w:val="21"/>
          <w:highlight w:val="none"/>
        </w:rPr>
        <w:t>结束前，进行系统测试，</w:t>
      </w:r>
      <w:r>
        <w:rPr>
          <w:rFonts w:hint="eastAsia" w:ascii="宋体" w:hAnsi="宋体" w:eastAsia="宋体" w:cs="宋体"/>
          <w:b w:val="0"/>
          <w:bCs w:val="0"/>
          <w:color w:val="000000"/>
          <w:sz w:val="21"/>
          <w:szCs w:val="21"/>
          <w:highlight w:val="none"/>
          <w:lang w:val="en-US" w:eastAsia="zh-CN"/>
        </w:rPr>
        <w:t>系统进行</w:t>
      </w:r>
      <w:r>
        <w:rPr>
          <w:rFonts w:hint="eastAsia" w:ascii="宋体" w:hAnsi="宋体" w:eastAsia="宋体" w:cs="宋体"/>
          <w:b w:val="0"/>
          <w:bCs w:val="0"/>
          <w:color w:val="000000"/>
          <w:sz w:val="21"/>
          <w:szCs w:val="21"/>
          <w:highlight w:val="none"/>
        </w:rPr>
        <w:t>全面维护，确保正常运行。</w:t>
      </w:r>
    </w:p>
    <w:p w14:paraId="3B1C5594">
      <w:pPr>
        <w:spacing w:line="458" w:lineRule="auto"/>
        <w:ind w:firstLine="420"/>
        <w:jc w:val="both"/>
        <w:rPr>
          <w:rFonts w:hint="eastAsia" w:ascii="宋体" w:hAnsi="宋体" w:eastAsia="宋体" w:cs="宋体"/>
          <w:color w:val="auto"/>
          <w:sz w:val="24"/>
          <w:szCs w:val="24"/>
          <w:highlight w:val="none"/>
        </w:rPr>
      </w:pPr>
      <w:r>
        <w:rPr>
          <w:rFonts w:hint="eastAsia" w:ascii="宋体" w:hAnsi="宋体" w:eastAsia="宋体" w:cs="宋体"/>
          <w:b w:val="0"/>
          <w:bCs w:val="0"/>
          <w:snapToGrid w:val="0"/>
          <w:color w:val="000000"/>
          <w:kern w:val="0"/>
          <w:sz w:val="21"/>
          <w:szCs w:val="21"/>
          <w:highlight w:val="none"/>
          <w:lang w:val="en-US" w:eastAsia="zh-CN" w:bidi="ar-SA"/>
        </w:rPr>
        <w:t>4、系统升级：质保期内系统版本升级包含在此次报价内</w:t>
      </w:r>
      <w:r>
        <w:rPr>
          <w:rFonts w:hint="eastAsia" w:ascii="宋体" w:hAnsi="宋体" w:eastAsia="宋体" w:cs="宋体"/>
          <w:color w:val="auto"/>
          <w:sz w:val="24"/>
          <w:szCs w:val="24"/>
          <w:highlight w:val="none"/>
        </w:rPr>
        <w:t>。</w:t>
      </w:r>
    </w:p>
    <w:p w14:paraId="142A3835">
      <w:pPr>
        <w:pageBreakBefore w:val="0"/>
        <w:kinsoku/>
        <w:wordWrap/>
        <w:overflowPunct/>
        <w:topLinePunct w:val="0"/>
        <w:autoSpaceDE/>
        <w:autoSpaceDN/>
        <w:bidi w:val="0"/>
        <w:spacing w:line="360" w:lineRule="auto"/>
        <w:ind w:left="0" w:leftChars="0" w:firstLine="420" w:firstLineChars="200"/>
        <w:jc w:val="left"/>
        <w:textAlignment w:val="auto"/>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5.质保期内，需确保满足医院智慧医疗分级评价相关要求。若出现不满足的情况，须免费维护与调整，直至产品符合评级需求。</w:t>
      </w:r>
    </w:p>
    <w:p w14:paraId="005EF90D">
      <w:pPr>
        <w:spacing w:line="239" w:lineRule="auto"/>
        <w:rPr>
          <w:color w:val="auto"/>
          <w:szCs w:val="21"/>
          <w:highlight w:val="none"/>
        </w:rPr>
      </w:pPr>
      <w:r>
        <w:rPr>
          <w:rFonts w:hint="eastAsia" w:ascii="宋体" w:hAnsi="宋体" w:eastAsia="宋体" w:cs="宋体"/>
          <w:b/>
          <w:bCs/>
          <w:color w:val="auto"/>
          <w:szCs w:val="21"/>
          <w:highlight w:val="none"/>
          <w:lang w:val="en-US" w:eastAsia="zh-CN"/>
        </w:rPr>
        <w:t>八</w:t>
      </w:r>
      <w:r>
        <w:rPr>
          <w:rFonts w:ascii="宋体" w:hAnsi="宋体" w:eastAsia="宋体" w:cs="宋体"/>
          <w:b/>
          <w:bCs/>
          <w:color w:val="auto"/>
          <w:szCs w:val="21"/>
          <w:highlight w:val="none"/>
        </w:rPr>
        <w:t>、技术与服务</w:t>
      </w:r>
    </w:p>
    <w:p w14:paraId="29E39252">
      <w:pPr>
        <w:spacing w:line="229" w:lineRule="exact"/>
        <w:rPr>
          <w:color w:val="auto"/>
          <w:szCs w:val="21"/>
          <w:highlight w:val="none"/>
        </w:rPr>
      </w:pPr>
    </w:p>
    <w:p w14:paraId="417B26BA">
      <w:pPr>
        <w:spacing w:line="360" w:lineRule="auto"/>
        <w:ind w:left="420"/>
        <w:outlineLvl w:val="0"/>
        <w:rPr>
          <w:color w:val="auto"/>
          <w:szCs w:val="21"/>
          <w:highlight w:val="none"/>
        </w:rPr>
      </w:pPr>
      <w:r>
        <w:rPr>
          <w:rFonts w:ascii="宋体" w:hAnsi="宋体" w:eastAsia="宋体" w:cs="宋体"/>
          <w:color w:val="auto"/>
          <w:szCs w:val="21"/>
          <w:highlight w:val="none"/>
        </w:rPr>
        <w:t>（一）技术资料包括：</w:t>
      </w:r>
    </w:p>
    <w:p w14:paraId="39E6713C">
      <w:pPr>
        <w:spacing w:line="360" w:lineRule="auto"/>
        <w:ind w:left="420" w:firstLine="105" w:firstLineChars="50"/>
        <w:rPr>
          <w:color w:val="auto"/>
          <w:szCs w:val="21"/>
          <w:highlight w:val="none"/>
        </w:rPr>
      </w:pPr>
      <w:r>
        <w:rPr>
          <w:rFonts w:ascii="宋体" w:hAnsi="宋体" w:eastAsia="宋体" w:cs="宋体"/>
          <w:color w:val="auto"/>
          <w:szCs w:val="21"/>
          <w:highlight w:val="none"/>
        </w:rPr>
        <w:t>1、货物使用说明书（中文）；</w:t>
      </w:r>
    </w:p>
    <w:p w14:paraId="1AD89F0C">
      <w:pPr>
        <w:spacing w:line="360" w:lineRule="auto"/>
        <w:ind w:left="420" w:firstLine="105" w:firstLineChars="50"/>
        <w:rPr>
          <w:color w:val="auto"/>
          <w:szCs w:val="21"/>
          <w:highlight w:val="none"/>
        </w:rPr>
      </w:pPr>
      <w:r>
        <w:rPr>
          <w:rFonts w:ascii="宋体" w:hAnsi="宋体" w:eastAsia="宋体" w:cs="宋体"/>
          <w:color w:val="auto"/>
          <w:szCs w:val="21"/>
          <w:highlight w:val="none"/>
        </w:rPr>
        <w:t>2、项目峻工资料、验收报告；</w:t>
      </w:r>
    </w:p>
    <w:p w14:paraId="0567D844">
      <w:pPr>
        <w:spacing w:line="360" w:lineRule="auto"/>
        <w:ind w:left="420" w:firstLine="105" w:firstLineChars="50"/>
        <w:rPr>
          <w:color w:val="auto"/>
          <w:szCs w:val="21"/>
          <w:highlight w:val="none"/>
        </w:rPr>
      </w:pPr>
      <w:r>
        <w:rPr>
          <w:rFonts w:ascii="宋体" w:hAnsi="宋体" w:eastAsia="宋体" w:cs="宋体"/>
          <w:color w:val="auto"/>
          <w:szCs w:val="21"/>
          <w:highlight w:val="none"/>
        </w:rPr>
        <w:t>3、其它资料。</w:t>
      </w:r>
    </w:p>
    <w:p w14:paraId="5E04B7CB">
      <w:pPr>
        <w:spacing w:line="360" w:lineRule="auto"/>
        <w:ind w:firstLine="420" w:firstLineChars="200"/>
        <w:outlineLvl w:val="0"/>
        <w:rPr>
          <w:color w:val="auto"/>
          <w:szCs w:val="21"/>
          <w:highlight w:val="none"/>
        </w:rPr>
      </w:pPr>
      <w:r>
        <w:rPr>
          <w:rFonts w:ascii="宋体" w:hAnsi="宋体" w:eastAsia="宋体" w:cs="宋体"/>
          <w:color w:val="auto"/>
          <w:szCs w:val="21"/>
          <w:highlight w:val="none"/>
        </w:rPr>
        <w:t>（二）服务承诺：以竞争性磋商响应文件、澄清表（函）、合同和随货物的相关文件为准。</w:t>
      </w:r>
    </w:p>
    <w:p w14:paraId="57EC20FE">
      <w:pPr>
        <w:spacing w:line="239" w:lineRule="auto"/>
        <w:outlineLvl w:val="0"/>
        <w:rPr>
          <w:color w:val="auto"/>
          <w:szCs w:val="21"/>
          <w:highlight w:val="none"/>
        </w:rPr>
      </w:pPr>
      <w:r>
        <w:rPr>
          <w:rFonts w:hint="eastAsia" w:ascii="宋体" w:hAnsi="宋体" w:eastAsia="宋体" w:cs="宋体"/>
          <w:b/>
          <w:bCs/>
          <w:color w:val="auto"/>
          <w:szCs w:val="21"/>
          <w:highlight w:val="none"/>
          <w:lang w:val="en-US" w:eastAsia="zh-CN"/>
        </w:rPr>
        <w:t>九</w:t>
      </w:r>
      <w:r>
        <w:rPr>
          <w:rFonts w:ascii="宋体" w:hAnsi="宋体" w:eastAsia="宋体" w:cs="宋体"/>
          <w:b/>
          <w:bCs/>
          <w:color w:val="auto"/>
          <w:szCs w:val="21"/>
          <w:highlight w:val="none"/>
        </w:rPr>
        <w:t>、验收</w:t>
      </w:r>
    </w:p>
    <w:p w14:paraId="3E1A7AF3">
      <w:pPr>
        <w:spacing w:line="259" w:lineRule="exact"/>
        <w:rPr>
          <w:color w:val="auto"/>
          <w:szCs w:val="21"/>
          <w:highlight w:val="none"/>
        </w:rPr>
      </w:pPr>
    </w:p>
    <w:p w14:paraId="271D00F8">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（一）项目完成后，试运行满90日且无重大问题，由投标人向招标人提出验收申请，招标人负责组织项目验收；</w:t>
      </w:r>
    </w:p>
    <w:p w14:paraId="7710F7E5">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（二）验收组织：</w:t>
      </w:r>
      <w:r>
        <w:rPr>
          <w:rFonts w:hint="eastAsia" w:ascii="宋体" w:hAnsi="宋体" w:eastAsia="宋体" w:cs="宋体"/>
          <w:color w:val="000000"/>
          <w:sz w:val="21"/>
          <w:szCs w:val="21"/>
          <w:highlight w:val="none"/>
          <w:lang w:val="en-US" w:eastAsia="zh-CN"/>
        </w:rPr>
        <w:t>由采购人负责组织自行验收</w:t>
      </w:r>
      <w:r>
        <w:rPr>
          <w:rFonts w:hint="eastAsia" w:ascii="宋体" w:hAnsi="宋体" w:eastAsia="宋体" w:cs="宋体"/>
          <w:color w:val="auto"/>
          <w:szCs w:val="21"/>
          <w:highlight w:val="none"/>
          <w:lang w:val="en-US" w:eastAsia="zh-CN"/>
        </w:rPr>
        <w:t>；</w:t>
      </w:r>
    </w:p>
    <w:p w14:paraId="59286A84">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（三）验收标准：</w:t>
      </w:r>
      <w:r>
        <w:rPr>
          <w:rFonts w:hint="eastAsia" w:ascii="宋体" w:hAnsi="宋体" w:eastAsia="宋体" w:cs="宋体"/>
          <w:color w:val="000000"/>
          <w:sz w:val="21"/>
          <w:szCs w:val="21"/>
          <w:highlight w:val="none"/>
        </w:rPr>
        <w:t>依据招标文件</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投标文件、合同条款、功能参数等其他要求</w:t>
      </w:r>
      <w:r>
        <w:rPr>
          <w:rFonts w:hint="eastAsia" w:ascii="宋体" w:hAnsi="宋体" w:eastAsia="宋体" w:cs="宋体"/>
          <w:color w:val="auto"/>
          <w:szCs w:val="21"/>
          <w:highlight w:val="none"/>
          <w:lang w:val="en-US" w:eastAsia="zh-CN"/>
        </w:rPr>
        <w:t>。</w:t>
      </w:r>
    </w:p>
    <w:p w14:paraId="22AA2FDC">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（四）验收条件：</w:t>
      </w:r>
    </w:p>
    <w:p w14:paraId="12CD7D2D">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1、整理本次项目相关文档；</w:t>
      </w:r>
    </w:p>
    <w:p w14:paraId="1A007C0C">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（五）向甲方提供的技术文档包括但不限于以下内容</w:t>
      </w:r>
    </w:p>
    <w:p w14:paraId="339E474A">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val="zh-CN" w:eastAsia="zh-CN"/>
        </w:rPr>
        <w:t>技术文档（包含但不限于以下内容）</w:t>
      </w:r>
    </w:p>
    <w:p w14:paraId="21B3262B">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2、用户调查与需求分析报告</w:t>
      </w:r>
    </w:p>
    <w:p w14:paraId="374E5D1F">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3、系统概要设计方案</w:t>
      </w:r>
    </w:p>
    <w:p w14:paraId="16D183A5">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4、项目实施计划</w:t>
      </w:r>
    </w:p>
    <w:p w14:paraId="12741A0C">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5、项目实施过程文档</w:t>
      </w:r>
    </w:p>
    <w:p w14:paraId="5621C223">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6、功能规格说明书</w:t>
      </w:r>
    </w:p>
    <w:p w14:paraId="5DAEE600">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7、系统详细设计说明书</w:t>
      </w:r>
    </w:p>
    <w:p w14:paraId="3F4BF2B4">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8、系统模块设计说明书</w:t>
      </w:r>
    </w:p>
    <w:p w14:paraId="66D01556">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9、数据库设计说明</w:t>
      </w:r>
    </w:p>
    <w:p w14:paraId="200559A1">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10、系统维护手册</w:t>
      </w:r>
    </w:p>
    <w:p w14:paraId="5F728B55">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11、用户操作手册</w:t>
      </w:r>
    </w:p>
    <w:p w14:paraId="2D5DADD4">
      <w:pPr>
        <w:pageBreakBefore w:val="0"/>
        <w:kinsoku/>
        <w:wordWrap/>
        <w:overflowPunct/>
        <w:topLinePunct w:val="0"/>
        <w:autoSpaceDE/>
        <w:autoSpaceDN/>
        <w:bidi w:val="0"/>
        <w:spacing w:line="360" w:lineRule="auto"/>
        <w:ind w:left="0" w:leftChars="0" w:firstLine="420" w:firstLineChars="200"/>
        <w:jc w:val="left"/>
        <w:textAlignment w:val="auto"/>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en-US" w:eastAsia="zh-CN"/>
        </w:rPr>
        <w:t>12、测试报告</w:t>
      </w:r>
    </w:p>
    <w:p w14:paraId="462F72C2">
      <w:pPr>
        <w:spacing w:line="32" w:lineRule="exact"/>
        <w:rPr>
          <w:color w:val="auto"/>
          <w:szCs w:val="21"/>
          <w:highlight w:val="none"/>
        </w:rPr>
      </w:pPr>
    </w:p>
    <w:p w14:paraId="006A9819">
      <w:pPr>
        <w:spacing w:line="239" w:lineRule="auto"/>
        <w:ind w:left="420"/>
        <w:rPr>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lang w:eastAsia="zh-CN"/>
        </w:rPr>
        <w:t>）</w:t>
      </w:r>
      <w:r>
        <w:rPr>
          <w:rFonts w:ascii="宋体" w:hAnsi="宋体" w:eastAsia="宋体" w:cs="宋体"/>
          <w:color w:val="auto"/>
          <w:szCs w:val="21"/>
          <w:highlight w:val="none"/>
        </w:rPr>
        <w:t>验收依据：</w:t>
      </w:r>
    </w:p>
    <w:p w14:paraId="3D8F9C43">
      <w:pPr>
        <w:spacing w:line="229" w:lineRule="exact"/>
        <w:rPr>
          <w:color w:val="auto"/>
          <w:szCs w:val="21"/>
          <w:highlight w:val="none"/>
        </w:rPr>
      </w:pPr>
    </w:p>
    <w:p w14:paraId="200DA7F8">
      <w:pPr>
        <w:ind w:left="420"/>
        <w:rPr>
          <w:color w:val="auto"/>
          <w:szCs w:val="21"/>
          <w:highlight w:val="none"/>
        </w:rPr>
      </w:pPr>
      <w:r>
        <w:rPr>
          <w:rFonts w:ascii="宋体" w:hAnsi="宋体" w:eastAsia="宋体" w:cs="宋体"/>
          <w:color w:val="auto"/>
          <w:szCs w:val="21"/>
          <w:highlight w:val="none"/>
        </w:rPr>
        <w:t>1、谈判文件、竞争性磋商响应文件、澄清表（函）；</w:t>
      </w:r>
    </w:p>
    <w:p w14:paraId="0F71D0BC">
      <w:pPr>
        <w:spacing w:line="228" w:lineRule="exact"/>
        <w:rPr>
          <w:color w:val="auto"/>
          <w:szCs w:val="21"/>
          <w:highlight w:val="none"/>
        </w:rPr>
      </w:pPr>
    </w:p>
    <w:p w14:paraId="18EBD6BD">
      <w:pPr>
        <w:ind w:left="420"/>
        <w:rPr>
          <w:color w:val="auto"/>
          <w:szCs w:val="21"/>
          <w:highlight w:val="none"/>
        </w:rPr>
      </w:pPr>
      <w:r>
        <w:rPr>
          <w:rFonts w:ascii="宋体" w:hAnsi="宋体" w:eastAsia="宋体" w:cs="宋体"/>
          <w:color w:val="auto"/>
          <w:szCs w:val="21"/>
          <w:highlight w:val="none"/>
        </w:rPr>
        <w:t>2、本合同及附件文本；</w:t>
      </w:r>
    </w:p>
    <w:p w14:paraId="6C352213">
      <w:pPr>
        <w:spacing w:line="228" w:lineRule="exact"/>
        <w:rPr>
          <w:color w:val="auto"/>
          <w:szCs w:val="21"/>
          <w:highlight w:val="none"/>
        </w:rPr>
      </w:pPr>
    </w:p>
    <w:p w14:paraId="103ACC27">
      <w:pPr>
        <w:ind w:left="420"/>
        <w:rPr>
          <w:color w:val="auto"/>
          <w:szCs w:val="21"/>
          <w:highlight w:val="none"/>
        </w:rPr>
      </w:pPr>
      <w:r>
        <w:rPr>
          <w:rFonts w:ascii="宋体" w:hAnsi="宋体" w:eastAsia="宋体" w:cs="宋体"/>
          <w:color w:val="auto"/>
          <w:szCs w:val="21"/>
          <w:highlight w:val="none"/>
        </w:rPr>
        <w:t>3、国家相应的标准、规范。</w:t>
      </w:r>
    </w:p>
    <w:p w14:paraId="6CD2A8B5">
      <w:pPr>
        <w:spacing w:before="240" w:beforeLines="100" w:after="240" w:afterLines="100"/>
        <w:rPr>
          <w:rFonts w:hint="eastAsia" w:ascii="宋体" w:hAnsi="宋体" w:eastAsia="宋体" w:cs="宋体"/>
          <w:b/>
          <w:bCs/>
          <w:color w:val="auto"/>
          <w:highlight w:val="none"/>
        </w:rPr>
      </w:pPr>
      <w:r>
        <w:rPr>
          <w:rFonts w:hint="eastAsia" w:ascii="宋体" w:hAnsi="宋体" w:eastAsia="宋体" w:cs="宋体"/>
          <w:b/>
          <w:bCs/>
          <w:color w:val="auto"/>
          <w:highlight w:val="none"/>
        </w:rPr>
        <w:t>十、保密条款</w:t>
      </w:r>
    </w:p>
    <w:p w14:paraId="3CD754FA">
      <w:pPr>
        <w:spacing w:line="360" w:lineRule="auto"/>
        <w:ind w:firstLine="7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1、乙方对合同履行过程中获得的甲方经营信息，技术信息，富有保密义务，如乙方私自泄露，造成甲方损失，除赔偿损失外，按照本合同承担违约责任。</w:t>
      </w:r>
    </w:p>
    <w:p w14:paraId="0086BC52">
      <w:pPr>
        <w:pStyle w:val="8"/>
        <w:spacing w:line="360" w:lineRule="auto"/>
        <w:ind w:left="0" w:leftChars="0" w:firstLine="720" w:firstLineChars="0"/>
        <w:rPr>
          <w:color w:val="auto"/>
          <w:highlight w:val="none"/>
        </w:rPr>
      </w:pPr>
      <w:r>
        <w:rPr>
          <w:rFonts w:hint="eastAsia" w:ascii="宋体" w:hAnsi="宋体" w:cs="宋体"/>
          <w:color w:val="auto"/>
          <w:szCs w:val="21"/>
          <w:highlight w:val="none"/>
        </w:rPr>
        <w:t>2、乙方所提供设备在运行当中获取的甲方或其他人员身份信息数据，负有保密义务。乙方使用数据必须按照国家有关保密法律法规的要求，采取有效的保密措施，确保数据安全，严防丢失泄密。</w:t>
      </w:r>
    </w:p>
    <w:p w14:paraId="04AE8CA8">
      <w:pPr>
        <w:outlineLvl w:val="0"/>
        <w:rPr>
          <w:color w:val="auto"/>
          <w:szCs w:val="21"/>
          <w:highlight w:val="none"/>
        </w:rPr>
      </w:pPr>
      <w:r>
        <w:rPr>
          <w:rFonts w:hint="eastAsia" w:ascii="宋体" w:hAnsi="宋体" w:eastAsia="宋体" w:cs="宋体"/>
          <w:b/>
          <w:bCs/>
          <w:color w:val="auto"/>
          <w:szCs w:val="21"/>
          <w:highlight w:val="none"/>
        </w:rPr>
        <w:t>十</w:t>
      </w:r>
      <w:r>
        <w:rPr>
          <w:rFonts w:hint="eastAsia" w:ascii="宋体" w:hAnsi="宋体" w:eastAsia="宋体" w:cs="宋体"/>
          <w:b/>
          <w:bCs/>
          <w:color w:val="auto"/>
          <w:highlight w:val="none"/>
        </w:rPr>
        <w:t>一</w:t>
      </w:r>
      <w:r>
        <w:rPr>
          <w:rFonts w:ascii="宋体" w:hAnsi="宋体" w:eastAsia="宋体" w:cs="宋体"/>
          <w:b/>
          <w:bCs/>
          <w:color w:val="auto"/>
          <w:szCs w:val="21"/>
          <w:highlight w:val="none"/>
        </w:rPr>
        <w:t>、违约责任</w:t>
      </w:r>
    </w:p>
    <w:p w14:paraId="4965CA80">
      <w:pPr>
        <w:spacing w:line="228" w:lineRule="exact"/>
        <w:rPr>
          <w:color w:val="auto"/>
          <w:szCs w:val="21"/>
          <w:highlight w:val="none"/>
        </w:rPr>
      </w:pPr>
    </w:p>
    <w:p w14:paraId="320716CA">
      <w:pPr>
        <w:spacing w:line="360" w:lineRule="auto"/>
        <w:ind w:firstLine="420" w:firstLineChars="200"/>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1、合同签订后，任何一方不得无故终止合同。如乙方单方终止合同，承担违约合同价款 30%的违约责任。</w:t>
      </w:r>
    </w:p>
    <w:p w14:paraId="17DED60B">
      <w:pPr>
        <w:spacing w:line="360" w:lineRule="auto"/>
        <w:ind w:firstLine="420" w:firstLineChars="200"/>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 一方无法继续履行合同需终止履行并解除合同的，应及时通知另一方，因合同解除而造成的损失由责任方承担。</w:t>
      </w:r>
    </w:p>
    <w:p w14:paraId="2C69B842">
      <w:pPr>
        <w:spacing w:line="360" w:lineRule="auto"/>
        <w:ind w:firstLine="420" w:firstLineChars="200"/>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3、因乙方原因造成工期延误的，每延误一天，由责任方按合同总价款的 0.5%向对方支付违约金。同时因乙方延期交货给甲方造成损失的（包括但不限于直接损失、可期待利益等），乙方应承担全部赔偿责任</w:t>
      </w:r>
    </w:p>
    <w:p w14:paraId="6BFC55A5">
      <w:pPr>
        <w:spacing w:line="360" w:lineRule="auto"/>
        <w:ind w:firstLine="420" w:firstLineChars="200"/>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4、发生特殊情况，非责任方可暂停合同履行，但应以书面形式告知对方暂停原因。</w:t>
      </w:r>
    </w:p>
    <w:p w14:paraId="4589C807">
      <w:pPr>
        <w:spacing w:line="360" w:lineRule="auto"/>
        <w:ind w:firstLine="420" w:firstLineChars="200"/>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5、非甲方的原因，乙方在安装、调试的过程中造成甲方、乙方或第三方人员或财产损失的（包括但不限于实际损失、可预期损失、诉讼费及律师费等），乙方应承担全部责任。</w:t>
      </w:r>
    </w:p>
    <w:p w14:paraId="2C59CF1B">
      <w:pPr>
        <w:spacing w:line="360" w:lineRule="auto"/>
        <w:ind w:firstLine="420" w:firstLineChars="200"/>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6、上述违约条款可合并适用，合并使用仍不能弥补甲方损失的，甲方有权向乙方继续追偿。</w:t>
      </w:r>
    </w:p>
    <w:p w14:paraId="234CDA53">
      <w:pPr>
        <w:spacing w:line="239" w:lineRule="auto"/>
        <w:outlineLvl w:val="0"/>
        <w:rPr>
          <w:color w:val="auto"/>
          <w:szCs w:val="21"/>
          <w:highlight w:val="none"/>
        </w:rPr>
      </w:pPr>
      <w:r>
        <w:rPr>
          <w:rFonts w:hint="eastAsia" w:ascii="宋体" w:hAnsi="宋体" w:eastAsia="宋体" w:cs="宋体"/>
          <w:b/>
          <w:bCs/>
          <w:color w:val="auto"/>
          <w:szCs w:val="21"/>
          <w:highlight w:val="none"/>
        </w:rPr>
        <w:t>十</w:t>
      </w:r>
      <w:r>
        <w:rPr>
          <w:rFonts w:hint="eastAsia" w:ascii="宋体" w:hAnsi="宋体" w:eastAsia="宋体" w:cs="宋体"/>
          <w:b/>
          <w:bCs/>
          <w:color w:val="auto"/>
          <w:szCs w:val="21"/>
          <w:highlight w:val="none"/>
          <w:lang w:val="en-US" w:eastAsia="zh-CN"/>
        </w:rPr>
        <w:t>二</w:t>
      </w:r>
      <w:r>
        <w:rPr>
          <w:rFonts w:ascii="宋体" w:hAnsi="宋体" w:eastAsia="宋体" w:cs="宋体"/>
          <w:b/>
          <w:bCs/>
          <w:color w:val="auto"/>
          <w:szCs w:val="21"/>
          <w:highlight w:val="none"/>
        </w:rPr>
        <w:t>、合同争议解决的方式</w:t>
      </w:r>
    </w:p>
    <w:p w14:paraId="36FD2502">
      <w:pPr>
        <w:spacing w:line="241" w:lineRule="exact"/>
        <w:rPr>
          <w:color w:val="auto"/>
          <w:szCs w:val="21"/>
          <w:highlight w:val="none"/>
        </w:rPr>
      </w:pPr>
    </w:p>
    <w:p w14:paraId="3720B841">
      <w:pPr>
        <w:spacing w:line="360" w:lineRule="auto"/>
        <w:ind w:firstLine="420" w:firstLineChars="200"/>
        <w:rPr>
          <w:color w:val="auto"/>
          <w:szCs w:val="21"/>
          <w:highlight w:val="none"/>
        </w:rPr>
      </w:pPr>
      <w:r>
        <w:rPr>
          <w:rFonts w:ascii="宋体" w:hAnsi="宋体" w:eastAsia="宋体" w:cs="宋体"/>
          <w:color w:val="auto"/>
          <w:szCs w:val="21"/>
          <w:highlight w:val="none"/>
        </w:rPr>
        <w:t>本合同在履行过程中发生的争议，由甲、乙双方当事人协商解决，协商不成的按下列第（ 二 ）种方式解决：</w:t>
      </w:r>
    </w:p>
    <w:p w14:paraId="14CAB7BC">
      <w:pPr>
        <w:spacing w:line="229" w:lineRule="exact"/>
        <w:rPr>
          <w:color w:val="auto"/>
          <w:szCs w:val="21"/>
          <w:highlight w:val="none"/>
        </w:rPr>
      </w:pPr>
    </w:p>
    <w:p w14:paraId="177F4DE7">
      <w:pPr>
        <w:tabs>
          <w:tab w:val="left" w:pos="1240"/>
          <w:tab w:val="left" w:pos="1980"/>
        </w:tabs>
        <w:rPr>
          <w:color w:val="auto"/>
          <w:szCs w:val="21"/>
          <w:highlight w:val="none"/>
        </w:rPr>
      </w:pPr>
      <w:r>
        <w:rPr>
          <w:rFonts w:ascii="宋体" w:hAnsi="宋体" w:eastAsia="宋体" w:cs="宋体"/>
          <w:color w:val="auto"/>
          <w:szCs w:val="21"/>
          <w:highlight w:val="none"/>
        </w:rPr>
        <w:t>（一）提交</w:t>
      </w:r>
      <w:r>
        <w:rPr>
          <w:color w:val="auto"/>
          <w:szCs w:val="21"/>
          <w:highlight w:val="none"/>
        </w:rPr>
        <w:tab/>
      </w:r>
      <w:r>
        <w:rPr>
          <w:rFonts w:ascii="宋体" w:hAnsi="宋体" w:eastAsia="宋体" w:cs="宋体"/>
          <w:color w:val="auto"/>
          <w:szCs w:val="21"/>
          <w:highlight w:val="none"/>
        </w:rPr>
        <w:t>西安</w:t>
      </w:r>
      <w:r>
        <w:rPr>
          <w:color w:val="auto"/>
          <w:szCs w:val="21"/>
          <w:highlight w:val="none"/>
        </w:rPr>
        <w:tab/>
      </w:r>
      <w:r>
        <w:rPr>
          <w:rFonts w:ascii="宋体" w:hAnsi="宋体" w:eastAsia="宋体" w:cs="宋体"/>
          <w:color w:val="auto"/>
          <w:szCs w:val="21"/>
          <w:highlight w:val="none"/>
        </w:rPr>
        <w:t>仲裁委员会仲裁；</w:t>
      </w:r>
    </w:p>
    <w:p w14:paraId="021BC98E">
      <w:pPr>
        <w:spacing w:line="228" w:lineRule="exact"/>
        <w:rPr>
          <w:color w:val="auto"/>
          <w:szCs w:val="21"/>
          <w:highlight w:val="none"/>
        </w:rPr>
      </w:pPr>
      <w:r>
        <w:rPr>
          <w:color w:val="auto"/>
          <w:szCs w:val="21"/>
          <w:highlight w:val="none"/>
        </w:rPr>
        <w:drawing>
          <wp:anchor distT="0" distB="0" distL="114300" distR="114300" simplePos="0" relativeHeight="251660288" behindDoc="1" locked="0" layoutInCell="0" allowOverlap="1">
            <wp:simplePos x="0" y="0"/>
            <wp:positionH relativeFrom="column">
              <wp:posOffset>732790</wp:posOffset>
            </wp:positionH>
            <wp:positionV relativeFrom="paragraph">
              <wp:posOffset>-5715</wp:posOffset>
            </wp:positionV>
            <wp:extent cx="400685" cy="6350"/>
            <wp:effectExtent l="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pic:cNvPicPr>
                      <a:picLocks noChangeAspect="1"/>
                    </pic:cNvPicPr>
                  </pic:nvPicPr>
                  <pic:blipFill>
                    <a:blip r:embed="rId8"/>
                    <a:stretch>
                      <a:fillRect/>
                    </a:stretch>
                  </pic:blipFill>
                  <pic:spPr>
                    <a:xfrm>
                      <a:off x="0" y="0"/>
                      <a:ext cx="400685" cy="6350"/>
                    </a:xfrm>
                    <a:prstGeom prst="rect">
                      <a:avLst/>
                    </a:prstGeom>
                    <a:noFill/>
                    <a:ln>
                      <a:noFill/>
                    </a:ln>
                  </pic:spPr>
                </pic:pic>
              </a:graphicData>
            </a:graphic>
          </wp:anchor>
        </w:drawing>
      </w:r>
    </w:p>
    <w:p w14:paraId="28CE383D">
      <w:pPr>
        <w:tabs>
          <w:tab w:val="left" w:pos="1440"/>
          <w:tab w:val="left" w:pos="2080"/>
        </w:tabs>
        <w:rPr>
          <w:color w:val="auto"/>
          <w:szCs w:val="21"/>
          <w:highlight w:val="none"/>
        </w:rPr>
      </w:pPr>
      <w:r>
        <w:rPr>
          <w:rFonts w:ascii="宋体" w:hAnsi="宋体" w:eastAsia="宋体" w:cs="宋体"/>
          <w:color w:val="auto"/>
          <w:szCs w:val="21"/>
          <w:highlight w:val="none"/>
        </w:rPr>
        <w:t>（二）依法向</w:t>
      </w:r>
      <w:r>
        <w:rPr>
          <w:color w:val="auto"/>
          <w:szCs w:val="21"/>
          <w:highlight w:val="none"/>
        </w:rPr>
        <w:tab/>
      </w:r>
      <w:r>
        <w:rPr>
          <w:rFonts w:ascii="宋体" w:hAnsi="宋体" w:eastAsia="宋体" w:cs="宋体"/>
          <w:color w:val="auto"/>
          <w:szCs w:val="21"/>
          <w:highlight w:val="none"/>
        </w:rPr>
        <w:t>甲方</w:t>
      </w:r>
      <w:r>
        <w:rPr>
          <w:color w:val="auto"/>
          <w:szCs w:val="21"/>
          <w:highlight w:val="none"/>
        </w:rPr>
        <w:tab/>
      </w:r>
      <w:r>
        <w:rPr>
          <w:rFonts w:ascii="宋体" w:hAnsi="宋体" w:eastAsia="宋体" w:cs="宋体"/>
          <w:color w:val="auto"/>
          <w:szCs w:val="21"/>
          <w:highlight w:val="none"/>
        </w:rPr>
        <w:t>所在地人民法院起诉。</w:t>
      </w:r>
    </w:p>
    <w:p w14:paraId="105E68EA">
      <w:pPr>
        <w:spacing w:line="228" w:lineRule="exact"/>
        <w:rPr>
          <w:color w:val="auto"/>
          <w:szCs w:val="21"/>
          <w:highlight w:val="none"/>
        </w:rPr>
      </w:pPr>
      <w:r>
        <w:rPr>
          <w:color w:val="auto"/>
          <w:szCs w:val="21"/>
          <w:highlight w:val="none"/>
        </w:rPr>
        <w:drawing>
          <wp:anchor distT="0" distB="0" distL="114300" distR="114300" simplePos="0" relativeHeight="251661312" behindDoc="1" locked="0" layoutInCell="0" allowOverlap="1">
            <wp:simplePos x="0" y="0"/>
            <wp:positionH relativeFrom="column">
              <wp:posOffset>800100</wp:posOffset>
            </wp:positionH>
            <wp:positionV relativeFrom="paragraph">
              <wp:posOffset>-5715</wp:posOffset>
            </wp:positionV>
            <wp:extent cx="466090" cy="635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pic:cNvPicPr>
                  </pic:nvPicPr>
                  <pic:blipFill>
                    <a:blip r:embed="rId9"/>
                    <a:stretch>
                      <a:fillRect/>
                    </a:stretch>
                  </pic:blipFill>
                  <pic:spPr>
                    <a:xfrm>
                      <a:off x="0" y="0"/>
                      <a:ext cx="466090" cy="6350"/>
                    </a:xfrm>
                    <a:prstGeom prst="rect">
                      <a:avLst/>
                    </a:prstGeom>
                    <a:noFill/>
                    <a:ln>
                      <a:noFill/>
                    </a:ln>
                  </pic:spPr>
                </pic:pic>
              </a:graphicData>
            </a:graphic>
          </wp:anchor>
        </w:drawing>
      </w:r>
    </w:p>
    <w:p w14:paraId="71FBAAD4">
      <w:pPr>
        <w:spacing w:line="239" w:lineRule="auto"/>
        <w:outlineLvl w:val="0"/>
        <w:rPr>
          <w:color w:val="auto"/>
          <w:szCs w:val="21"/>
          <w:highlight w:val="none"/>
        </w:rPr>
      </w:pPr>
      <w:r>
        <w:rPr>
          <w:rFonts w:hint="eastAsia" w:ascii="宋体" w:hAnsi="宋体" w:eastAsia="宋体" w:cs="宋体"/>
          <w:b/>
          <w:bCs/>
          <w:color w:val="auto"/>
          <w:szCs w:val="21"/>
          <w:highlight w:val="none"/>
        </w:rPr>
        <w:t>十</w:t>
      </w:r>
      <w:r>
        <w:rPr>
          <w:rFonts w:hint="eastAsia" w:ascii="宋体" w:hAnsi="宋体" w:eastAsia="宋体" w:cs="宋体"/>
          <w:b/>
          <w:bCs/>
          <w:color w:val="auto"/>
          <w:szCs w:val="21"/>
          <w:highlight w:val="none"/>
          <w:lang w:val="en-US" w:eastAsia="zh-CN"/>
        </w:rPr>
        <w:t>三</w:t>
      </w:r>
      <w:r>
        <w:rPr>
          <w:rFonts w:ascii="宋体" w:hAnsi="宋体" w:eastAsia="宋体" w:cs="宋体"/>
          <w:b/>
          <w:bCs/>
          <w:color w:val="auto"/>
          <w:szCs w:val="21"/>
          <w:highlight w:val="none"/>
        </w:rPr>
        <w:t>、合同生效</w:t>
      </w:r>
    </w:p>
    <w:p w14:paraId="45DFEEE9">
      <w:pPr>
        <w:spacing w:line="241" w:lineRule="exact"/>
        <w:rPr>
          <w:color w:val="auto"/>
          <w:szCs w:val="21"/>
          <w:highlight w:val="none"/>
        </w:rPr>
      </w:pPr>
    </w:p>
    <w:p w14:paraId="359222A3">
      <w:pPr>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本合同一式</w:t>
      </w:r>
      <w:r>
        <w:rPr>
          <w:rFonts w:hint="eastAsia" w:ascii="宋体" w:hAnsi="宋体" w:eastAsia="宋体" w:cs="宋体"/>
          <w:color w:val="auto"/>
          <w:szCs w:val="21"/>
          <w:highlight w:val="none"/>
        </w:rPr>
        <w:t>伍</w:t>
      </w:r>
      <w:r>
        <w:rPr>
          <w:rFonts w:ascii="宋体" w:hAnsi="宋体" w:eastAsia="宋体" w:cs="宋体"/>
          <w:color w:val="auto"/>
          <w:szCs w:val="21"/>
          <w:highlight w:val="none"/>
        </w:rPr>
        <w:t>份，甲方执肆份，乙方执壹份，本合同甲、乙、确认各方签字盖章后生效，合同执行完毕后，自动失效（合同的服务承诺则长期有效）。</w:t>
      </w:r>
    </w:p>
    <w:p w14:paraId="44E4376C">
      <w:pPr>
        <w:spacing w:line="239" w:lineRule="auto"/>
        <w:outlineLvl w:val="0"/>
        <w:rPr>
          <w:color w:val="auto"/>
          <w:szCs w:val="21"/>
          <w:highlight w:val="none"/>
        </w:rPr>
      </w:pPr>
      <w:r>
        <w:rPr>
          <w:rFonts w:ascii="宋体" w:hAnsi="宋体" w:eastAsia="宋体" w:cs="宋体"/>
          <w:b/>
          <w:bCs/>
          <w:color w:val="auto"/>
          <w:szCs w:val="21"/>
          <w:highlight w:val="none"/>
        </w:rPr>
        <w:t>十</w:t>
      </w:r>
      <w:r>
        <w:rPr>
          <w:rFonts w:hint="eastAsia" w:ascii="宋体" w:hAnsi="宋体" w:eastAsia="宋体" w:cs="宋体"/>
          <w:b/>
          <w:bCs/>
          <w:color w:val="auto"/>
          <w:szCs w:val="21"/>
          <w:highlight w:val="none"/>
          <w:lang w:val="en-US" w:eastAsia="zh-CN"/>
        </w:rPr>
        <w:t>四</w:t>
      </w:r>
      <w:r>
        <w:rPr>
          <w:rFonts w:ascii="宋体" w:hAnsi="宋体" w:eastAsia="宋体" w:cs="宋体"/>
          <w:b/>
          <w:bCs/>
          <w:color w:val="auto"/>
          <w:szCs w:val="21"/>
          <w:highlight w:val="none"/>
        </w:rPr>
        <w:t>、其他事项</w:t>
      </w:r>
    </w:p>
    <w:p w14:paraId="78DD8821">
      <w:pPr>
        <w:spacing w:line="189" w:lineRule="exact"/>
        <w:rPr>
          <w:color w:val="auto"/>
          <w:szCs w:val="21"/>
          <w:highlight w:val="none"/>
        </w:rPr>
      </w:pPr>
    </w:p>
    <w:p w14:paraId="07CEF42E">
      <w:pPr>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w:t>
      </w:r>
      <w:r>
        <w:rPr>
          <w:rFonts w:hint="eastAsia" w:ascii="宋体" w:hAnsi="宋体" w:eastAsia="宋体" w:cs="宋体"/>
          <w:color w:val="auto"/>
          <w:szCs w:val="21"/>
          <w:highlight w:val="none"/>
          <w:lang w:eastAsia="zh-CN"/>
        </w:rPr>
        <w:t>一</w:t>
      </w:r>
      <w:r>
        <w:rPr>
          <w:rFonts w:ascii="宋体" w:hAnsi="宋体" w:eastAsia="宋体" w:cs="宋体"/>
          <w:color w:val="auto"/>
          <w:szCs w:val="21"/>
          <w:highlight w:val="none"/>
        </w:rPr>
        <w:t>）西安市财政局政府采购管理处在合同的履行期间以及履行期后，可以随时检查项目的执行情况，对采购内容、标准进行调查核实，并对发现的问题进行处理。</w:t>
      </w:r>
    </w:p>
    <w:p w14:paraId="24284FD3">
      <w:pPr>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w:t>
      </w:r>
      <w:r>
        <w:rPr>
          <w:rFonts w:hint="eastAsia" w:ascii="宋体" w:hAnsi="宋体" w:eastAsia="宋体" w:cs="宋体"/>
          <w:color w:val="auto"/>
          <w:szCs w:val="21"/>
          <w:highlight w:val="none"/>
          <w:lang w:eastAsia="zh-CN"/>
        </w:rPr>
        <w:t>二</w:t>
      </w:r>
      <w:r>
        <w:rPr>
          <w:rFonts w:ascii="宋体" w:hAnsi="宋体" w:eastAsia="宋体" w:cs="宋体"/>
          <w:color w:val="auto"/>
          <w:szCs w:val="21"/>
          <w:highlight w:val="none"/>
        </w:rPr>
        <w:t>）招标文件、投标响应文件、澄清表（函）、成交通知书、合同附件均成为合同不可分割的部分。</w:t>
      </w:r>
    </w:p>
    <w:p w14:paraId="55529C4F">
      <w:pPr>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w:t>
      </w:r>
      <w:r>
        <w:rPr>
          <w:rFonts w:hint="eastAsia" w:ascii="宋体" w:hAnsi="宋体" w:eastAsia="宋体" w:cs="宋体"/>
          <w:color w:val="auto"/>
          <w:szCs w:val="21"/>
          <w:highlight w:val="none"/>
          <w:lang w:eastAsia="zh-CN"/>
        </w:rPr>
        <w:t>三</w:t>
      </w:r>
      <w:r>
        <w:rPr>
          <w:rFonts w:ascii="宋体" w:hAnsi="宋体" w:eastAsia="宋体" w:cs="宋体"/>
          <w:color w:val="auto"/>
          <w:szCs w:val="21"/>
          <w:highlight w:val="none"/>
        </w:rPr>
        <w:t>）合同未尽事宜，由甲、乙双方协商，作为合同补充，与原合同具有同等法律效力。</w:t>
      </w:r>
    </w:p>
    <w:p w14:paraId="0BA86233">
      <w:pPr>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w:t>
      </w:r>
      <w:r>
        <w:rPr>
          <w:rFonts w:hint="eastAsia" w:ascii="宋体" w:hAnsi="宋体" w:eastAsia="宋体" w:cs="宋体"/>
          <w:color w:val="auto"/>
          <w:szCs w:val="21"/>
          <w:highlight w:val="none"/>
          <w:lang w:eastAsia="zh-CN"/>
        </w:rPr>
        <w:t>四</w:t>
      </w:r>
      <w:r>
        <w:rPr>
          <w:rFonts w:ascii="宋体" w:hAnsi="宋体" w:eastAsia="宋体" w:cs="宋体"/>
          <w:color w:val="auto"/>
          <w:szCs w:val="21"/>
          <w:highlight w:val="none"/>
        </w:rPr>
        <w:t>）合同一经签订，不得擅自变更、中止或终止合同。对确需变更、调整或中止、终止合同的，应按规定履行相应的手续。</w:t>
      </w:r>
    </w:p>
    <w:p w14:paraId="00A7A15B">
      <w:pPr>
        <w:spacing w:line="360" w:lineRule="auto"/>
        <w:ind w:firstLine="420" w:firstLineChars="200"/>
        <w:rPr>
          <w:rFonts w:hint="eastAsia" w:ascii="宋体" w:hAnsi="宋体" w:eastAsia="宋体" w:cs="宋体"/>
          <w:color w:val="auto"/>
          <w:szCs w:val="21"/>
          <w:highlight w:val="none"/>
        </w:rPr>
      </w:pPr>
      <w:r>
        <w:rPr>
          <w:rFonts w:ascii="宋体" w:hAnsi="宋体" w:eastAsia="宋体" w:cs="宋体"/>
          <w:color w:val="auto"/>
          <w:szCs w:val="21"/>
          <w:highlight w:val="none"/>
        </w:rPr>
        <w:t>（</w:t>
      </w:r>
      <w:r>
        <w:rPr>
          <w:rFonts w:hint="eastAsia" w:ascii="宋体" w:hAnsi="宋体" w:eastAsia="宋体" w:cs="宋体"/>
          <w:color w:val="auto"/>
          <w:szCs w:val="21"/>
          <w:highlight w:val="none"/>
          <w:lang w:eastAsia="zh-CN"/>
        </w:rPr>
        <w:t>五</w:t>
      </w:r>
      <w:r>
        <w:rPr>
          <w:rFonts w:ascii="宋体" w:hAnsi="宋体" w:eastAsia="宋体" w:cs="宋体"/>
          <w:color w:val="auto"/>
          <w:szCs w:val="21"/>
          <w:highlight w:val="none"/>
        </w:rPr>
        <w:t>）本合同按照中华人民共和国的现行法律进行解释。</w:t>
      </w:r>
    </w:p>
    <w:p w14:paraId="7104204B">
      <w:pPr>
        <w:spacing w:line="200" w:lineRule="exact"/>
        <w:rPr>
          <w:rFonts w:hint="eastAsia"/>
          <w:b/>
          <w:color w:val="auto"/>
          <w:szCs w:val="21"/>
          <w:highlight w:val="none"/>
        </w:rPr>
      </w:pPr>
    </w:p>
    <w:p w14:paraId="1FF9D08F">
      <w:pPr>
        <w:pStyle w:val="3"/>
        <w:rPr>
          <w:rFonts w:hint="eastAsia"/>
          <w:highlight w:val="none"/>
        </w:rPr>
      </w:pPr>
    </w:p>
    <w:tbl>
      <w:tblPr>
        <w:tblStyle w:val="9"/>
        <w:tblpPr w:leftFromText="180" w:rightFromText="180" w:vertAnchor="text" w:horzAnchor="page" w:tblpX="1600" w:tblpY="810"/>
        <w:tblOverlap w:val="never"/>
        <w:tblW w:w="9760" w:type="dxa"/>
        <w:tblInd w:w="0" w:type="dxa"/>
        <w:tblLayout w:type="fixed"/>
        <w:tblCellMar>
          <w:top w:w="0" w:type="dxa"/>
          <w:left w:w="0" w:type="dxa"/>
          <w:bottom w:w="0" w:type="dxa"/>
          <w:right w:w="0" w:type="dxa"/>
        </w:tblCellMar>
      </w:tblPr>
      <w:tblGrid>
        <w:gridCol w:w="4564"/>
        <w:gridCol w:w="5196"/>
      </w:tblGrid>
      <w:tr w14:paraId="5467A77F">
        <w:tblPrEx>
          <w:tblCellMar>
            <w:top w:w="0" w:type="dxa"/>
            <w:left w:w="0" w:type="dxa"/>
            <w:bottom w:w="0" w:type="dxa"/>
            <w:right w:w="0" w:type="dxa"/>
          </w:tblCellMar>
        </w:tblPrEx>
        <w:tc>
          <w:tcPr>
            <w:tcW w:w="4564" w:type="dxa"/>
            <w:noWrap w:val="0"/>
            <w:tcMar>
              <w:top w:w="0" w:type="dxa"/>
              <w:left w:w="108" w:type="dxa"/>
              <w:bottom w:w="0" w:type="dxa"/>
              <w:right w:w="108" w:type="dxa"/>
            </w:tcMar>
            <w:vAlign w:val="top"/>
          </w:tcPr>
          <w:p w14:paraId="5F3207A9">
            <w:pPr>
              <w:rPr>
                <w:rFonts w:hint="eastAsia" w:ascii="仿宋" w:hAnsi="仿宋" w:eastAsia="仿宋" w:cs="仿宋"/>
                <w:sz w:val="28"/>
                <w:szCs w:val="28"/>
                <w:highlight w:val="none"/>
              </w:rPr>
            </w:pPr>
            <w:r>
              <w:rPr>
                <w:rFonts w:hint="eastAsia" w:ascii="仿宋" w:hAnsi="仿宋" w:eastAsia="仿宋" w:cs="仿宋"/>
                <w:sz w:val="28"/>
                <w:szCs w:val="28"/>
                <w:highlight w:val="none"/>
              </w:rPr>
              <w:t>甲方：西安市胸科医院（公章）</w:t>
            </w:r>
          </w:p>
          <w:p w14:paraId="04169B86">
            <w:pPr>
              <w:rPr>
                <w:rFonts w:hint="eastAsia" w:ascii="仿宋" w:hAnsi="仿宋" w:eastAsia="仿宋" w:cs="仿宋"/>
                <w:sz w:val="28"/>
                <w:szCs w:val="28"/>
                <w:highlight w:val="none"/>
              </w:rPr>
            </w:pPr>
          </w:p>
          <w:p w14:paraId="417E503B">
            <w:pPr>
              <w:rPr>
                <w:rFonts w:hint="eastAsia" w:ascii="仿宋" w:hAnsi="仿宋" w:eastAsia="仿宋" w:cs="宋体"/>
                <w:color w:val="000000"/>
                <w:sz w:val="28"/>
                <w:szCs w:val="28"/>
                <w:highlight w:val="none"/>
                <w:lang w:val="en-US" w:eastAsia="zh-CN"/>
              </w:rPr>
            </w:pPr>
            <w:r>
              <w:rPr>
                <w:rFonts w:hint="eastAsia" w:ascii="仿宋" w:hAnsi="仿宋" w:eastAsia="仿宋" w:cs="仿宋"/>
                <w:sz w:val="28"/>
                <w:szCs w:val="28"/>
                <w:highlight w:val="none"/>
              </w:rPr>
              <w:t>地址：</w:t>
            </w:r>
            <w:r>
              <w:rPr>
                <w:rFonts w:hint="eastAsia" w:ascii="仿宋" w:hAnsi="仿宋" w:eastAsia="仿宋" w:cs="宋体"/>
                <w:color w:val="000000"/>
                <w:sz w:val="28"/>
                <w:szCs w:val="28"/>
                <w:highlight w:val="none"/>
              </w:rPr>
              <w:t>西安市</w:t>
            </w:r>
            <w:r>
              <w:rPr>
                <w:rFonts w:hint="eastAsia" w:ascii="仿宋" w:hAnsi="仿宋" w:eastAsia="仿宋" w:cs="宋体"/>
                <w:color w:val="000000"/>
                <w:sz w:val="28"/>
                <w:szCs w:val="28"/>
                <w:highlight w:val="none"/>
                <w:lang w:eastAsia="zh-CN"/>
              </w:rPr>
              <w:t>长安区航天大道东段杜陵西路</w:t>
            </w:r>
            <w:r>
              <w:rPr>
                <w:rFonts w:hint="eastAsia" w:ascii="仿宋" w:hAnsi="仿宋" w:eastAsia="仿宋" w:cs="宋体"/>
                <w:color w:val="000000"/>
                <w:sz w:val="28"/>
                <w:szCs w:val="28"/>
                <w:highlight w:val="none"/>
                <w:lang w:val="en-US" w:eastAsia="zh-CN"/>
              </w:rPr>
              <w:t>2000号</w:t>
            </w:r>
          </w:p>
          <w:p w14:paraId="0865DD58">
            <w:pPr>
              <w:pStyle w:val="2"/>
              <w:rPr>
                <w:rFonts w:hint="default"/>
                <w:highlight w:val="none"/>
                <w:lang w:val="en-US" w:eastAsia="zh-CN"/>
              </w:rPr>
            </w:pPr>
          </w:p>
          <w:p w14:paraId="10F52280">
            <w:pP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法定代表人：（签字）             </w:t>
            </w:r>
          </w:p>
          <w:p w14:paraId="7742C3EA">
            <w:pPr>
              <w:rPr>
                <w:rFonts w:hint="eastAsia" w:ascii="仿宋" w:hAnsi="仿宋" w:eastAsia="仿宋" w:cs="仿宋"/>
                <w:sz w:val="28"/>
                <w:szCs w:val="28"/>
                <w:highlight w:val="none"/>
              </w:rPr>
            </w:pPr>
          </w:p>
          <w:p w14:paraId="0A5C7ED8">
            <w:pPr>
              <w:rPr>
                <w:rFonts w:hint="eastAsia" w:ascii="仿宋" w:hAnsi="仿宋" w:eastAsia="仿宋" w:cs="仿宋"/>
                <w:sz w:val="28"/>
                <w:szCs w:val="28"/>
                <w:highlight w:val="none"/>
              </w:rPr>
            </w:pPr>
            <w:r>
              <w:rPr>
                <w:rFonts w:hint="eastAsia" w:ascii="仿宋" w:hAnsi="仿宋" w:eastAsia="仿宋" w:cs="仿宋"/>
                <w:sz w:val="28"/>
                <w:szCs w:val="28"/>
                <w:highlight w:val="none"/>
              </w:rPr>
              <w:t>代理人：（签字）</w:t>
            </w:r>
          </w:p>
          <w:p w14:paraId="17749079">
            <w:pPr>
              <w:rPr>
                <w:rFonts w:hint="eastAsia" w:ascii="仿宋" w:hAnsi="仿宋" w:eastAsia="仿宋" w:cs="仿宋"/>
                <w:sz w:val="28"/>
                <w:szCs w:val="28"/>
                <w:highlight w:val="none"/>
              </w:rPr>
            </w:pPr>
          </w:p>
          <w:p w14:paraId="3B985FE6">
            <w:pPr>
              <w:rPr>
                <w:rFonts w:hint="eastAsia" w:ascii="仿宋" w:hAnsi="仿宋" w:eastAsia="仿宋" w:cs="仿宋"/>
                <w:sz w:val="28"/>
                <w:szCs w:val="28"/>
                <w:highlight w:val="none"/>
              </w:rPr>
            </w:pPr>
            <w:r>
              <w:rPr>
                <w:rFonts w:hint="eastAsia" w:ascii="仿宋" w:hAnsi="仿宋" w:eastAsia="仿宋" w:cs="仿宋"/>
                <w:sz w:val="28"/>
                <w:szCs w:val="28"/>
                <w:highlight w:val="none"/>
              </w:rPr>
              <w:t>项目主管部门负责人：（签字）</w:t>
            </w:r>
          </w:p>
          <w:p w14:paraId="58D13F06">
            <w:pPr>
              <w:rPr>
                <w:rFonts w:hint="eastAsia" w:ascii="仿宋" w:hAnsi="仿宋" w:eastAsia="仿宋" w:cs="仿宋"/>
                <w:sz w:val="28"/>
                <w:szCs w:val="28"/>
                <w:highlight w:val="none"/>
              </w:rPr>
            </w:pPr>
          </w:p>
          <w:p w14:paraId="7A397CDF">
            <w:pPr>
              <w:rPr>
                <w:rFonts w:hint="eastAsia" w:ascii="仿宋" w:hAnsi="仿宋" w:eastAsia="仿宋" w:cs="仿宋"/>
                <w:sz w:val="28"/>
                <w:szCs w:val="28"/>
                <w:highlight w:val="none"/>
              </w:rPr>
            </w:pPr>
            <w:r>
              <w:rPr>
                <w:rFonts w:hint="eastAsia" w:ascii="仿宋" w:hAnsi="仿宋" w:eastAsia="仿宋" w:cs="仿宋"/>
                <w:sz w:val="28"/>
                <w:szCs w:val="28"/>
                <w:highlight w:val="none"/>
              </w:rPr>
              <w:t>招采办负责人：（签字）</w:t>
            </w:r>
          </w:p>
          <w:p w14:paraId="43DCFAAE">
            <w:pPr>
              <w:rPr>
                <w:rFonts w:hint="eastAsia" w:ascii="仿宋" w:hAnsi="仿宋" w:eastAsia="仿宋" w:cs="仿宋"/>
                <w:sz w:val="28"/>
                <w:szCs w:val="28"/>
                <w:highlight w:val="none"/>
              </w:rPr>
            </w:pPr>
          </w:p>
          <w:p w14:paraId="58360BBA">
            <w:pPr>
              <w:rPr>
                <w:sz w:val="28"/>
                <w:szCs w:val="28"/>
                <w:highlight w:val="none"/>
              </w:rPr>
            </w:pPr>
            <w:r>
              <w:rPr>
                <w:rFonts w:hint="eastAsia" w:ascii="仿宋" w:hAnsi="仿宋" w:eastAsia="仿宋" w:cs="仿宋"/>
                <w:sz w:val="28"/>
                <w:szCs w:val="28"/>
                <w:highlight w:val="none"/>
              </w:rPr>
              <w:t>联系电话：029-62500115</w:t>
            </w:r>
          </w:p>
          <w:p w14:paraId="23693DEE">
            <w:pPr>
              <w:rPr>
                <w:rFonts w:hint="eastAsia" w:ascii="仿宋" w:hAnsi="仿宋" w:eastAsia="仿宋" w:cs="仿宋"/>
                <w:sz w:val="28"/>
                <w:szCs w:val="28"/>
                <w:highlight w:val="none"/>
              </w:rPr>
            </w:pPr>
          </w:p>
          <w:p w14:paraId="676B84F0">
            <w:pPr>
              <w:rPr>
                <w:rFonts w:hint="eastAsia" w:ascii="仿宋" w:hAnsi="仿宋" w:eastAsia="仿宋" w:cs="仿宋"/>
                <w:sz w:val="28"/>
                <w:szCs w:val="28"/>
                <w:highlight w:val="none"/>
              </w:rPr>
            </w:pPr>
            <w:r>
              <w:rPr>
                <w:rFonts w:hint="eastAsia" w:ascii="仿宋" w:hAnsi="仿宋" w:eastAsia="仿宋" w:cs="仿宋"/>
                <w:sz w:val="28"/>
                <w:szCs w:val="28"/>
                <w:highlight w:val="none"/>
              </w:rPr>
              <w:t>签订日期：</w:t>
            </w:r>
            <w:r>
              <w:rPr>
                <w:rFonts w:hint="eastAsia" w:ascii="仿宋" w:hAnsi="仿宋" w:eastAsia="仿宋" w:cs="仿宋"/>
                <w:sz w:val="28"/>
                <w:szCs w:val="28"/>
                <w:highlight w:val="none"/>
                <w:lang w:val="en-US" w:eastAsia="zh-CN"/>
              </w:rPr>
              <w:t xml:space="preserve">202  </w:t>
            </w:r>
            <w:r>
              <w:rPr>
                <w:rFonts w:hint="eastAsia" w:ascii="仿宋" w:hAnsi="仿宋" w:eastAsia="仿宋" w:cs="仿宋"/>
                <w:sz w:val="28"/>
                <w:szCs w:val="28"/>
                <w:highlight w:val="none"/>
              </w:rPr>
              <w:t>年  月   日</w:t>
            </w:r>
          </w:p>
        </w:tc>
        <w:tc>
          <w:tcPr>
            <w:tcW w:w="5196" w:type="dxa"/>
            <w:noWrap w:val="0"/>
            <w:tcMar>
              <w:top w:w="0" w:type="dxa"/>
              <w:left w:w="108" w:type="dxa"/>
              <w:bottom w:w="0" w:type="dxa"/>
              <w:right w:w="108" w:type="dxa"/>
            </w:tcMar>
            <w:vAlign w:val="top"/>
          </w:tcPr>
          <w:p w14:paraId="56A2B9D3">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乙方：</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（公章）</w:t>
            </w:r>
          </w:p>
          <w:p w14:paraId="5C27AE1B">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highlight w:val="none"/>
              </w:rPr>
            </w:pPr>
          </w:p>
          <w:p w14:paraId="75A48EFA">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地址：</w:t>
            </w:r>
          </w:p>
          <w:p w14:paraId="26155288">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highlight w:val="none"/>
              </w:rPr>
            </w:pPr>
          </w:p>
          <w:p w14:paraId="0BF9812E">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法定代表人：（签字）</w:t>
            </w:r>
          </w:p>
          <w:p w14:paraId="32DE7929">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 w:hAnsi="仿宋" w:eastAsia="仿宋" w:cs="仿宋"/>
                <w:sz w:val="28"/>
                <w:szCs w:val="28"/>
                <w:highlight w:val="none"/>
              </w:rPr>
            </w:pPr>
            <w:r>
              <w:rPr>
                <w:rFonts w:hint="eastAsia" w:ascii="仿宋" w:hAnsi="仿宋" w:eastAsia="仿宋" w:cs="仿宋"/>
                <w:sz w:val="28"/>
                <w:szCs w:val="28"/>
                <w:highlight w:val="none"/>
              </w:rPr>
              <w:t>经办人：（签字）</w:t>
            </w:r>
          </w:p>
          <w:p w14:paraId="113E7454">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联系电话：</w:t>
            </w:r>
          </w:p>
          <w:p w14:paraId="6A5D6D69">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开户银行： </w:t>
            </w:r>
          </w:p>
          <w:p w14:paraId="368CE5FF">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银行账号： </w:t>
            </w:r>
          </w:p>
          <w:p w14:paraId="77DDA176">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highlight w:val="none"/>
              </w:rPr>
            </w:pPr>
          </w:p>
          <w:p w14:paraId="08166610">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签订日期：</w:t>
            </w:r>
            <w:r>
              <w:rPr>
                <w:rFonts w:hint="eastAsia" w:ascii="仿宋" w:hAnsi="仿宋" w:eastAsia="仿宋" w:cs="仿宋"/>
                <w:sz w:val="28"/>
                <w:szCs w:val="28"/>
                <w:highlight w:val="none"/>
                <w:lang w:val="en-US" w:eastAsia="zh-CN"/>
              </w:rPr>
              <w:t xml:space="preserve">202  </w:t>
            </w:r>
            <w:r>
              <w:rPr>
                <w:rFonts w:hint="eastAsia" w:ascii="仿宋" w:hAnsi="仿宋" w:eastAsia="仿宋" w:cs="仿宋"/>
                <w:sz w:val="28"/>
                <w:szCs w:val="28"/>
                <w:highlight w:val="none"/>
              </w:rPr>
              <w:t>年  月   日</w:t>
            </w:r>
          </w:p>
        </w:tc>
      </w:tr>
    </w:tbl>
    <w:p w14:paraId="005091F9">
      <w:pPr>
        <w:spacing w:line="239" w:lineRule="auto"/>
        <w:ind w:firstLine="105" w:firstLineChars="50"/>
        <w:rPr>
          <w:rFonts w:ascii="宋体" w:hAnsi="宋体" w:eastAsia="宋体" w:cs="宋体"/>
          <w:szCs w:val="21"/>
          <w:highlight w:val="none"/>
        </w:rPr>
      </w:pPr>
    </w:p>
    <w:p w14:paraId="7544CF45">
      <w:pPr>
        <w:spacing w:line="239" w:lineRule="auto"/>
        <w:ind w:firstLine="105" w:firstLineChars="50"/>
        <w:rPr>
          <w:rFonts w:hint="eastAsia" w:ascii="宋体" w:hAnsi="宋体" w:eastAsia="宋体" w:cs="宋体"/>
          <w:szCs w:val="21"/>
          <w:highlight w:val="none"/>
          <w:lang w:val="en-US" w:eastAsia="zh-Hans"/>
        </w:rPr>
      </w:pPr>
    </w:p>
    <w:p w14:paraId="7BBC0E55">
      <w:bookmarkStart w:id="0" w:name="_GoBack"/>
      <w:bookmarkEnd w:id="0"/>
    </w:p>
    <w:sectPr>
      <w:headerReference r:id="rId5" w:type="default"/>
      <w:footerReference r:id="rId6"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31F57">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00A0D1">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E00A0D1">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55</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BF024">
    <w:pPr>
      <w:adjustRightInd w:val="0"/>
      <w:snapToGrid w:val="0"/>
      <w:spacing w:line="360" w:lineRule="auto"/>
      <w:jc w:val="both"/>
      <w:rPr>
        <w:rFonts w:hint="default" w:ascii="宋体" w:eastAsia="宋体" w:cs="Times New Roman"/>
        <w:sz w:val="18"/>
        <w:szCs w:val="18"/>
        <w:u w:val="single"/>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A28936"/>
    <w:multiLevelType w:val="singleLevel"/>
    <w:tmpl w:val="45A28936"/>
    <w:lvl w:ilvl="0" w:tentative="0">
      <w:start w:val="1"/>
      <w:numFmt w:val="chineseCounting"/>
      <w:suff w:val="nothing"/>
      <w:lvlText w:val="（%1）"/>
      <w:lvlJc w:val="left"/>
      <w:rPr>
        <w:rFonts w:hint="eastAsia"/>
      </w:rPr>
    </w:lvl>
  </w:abstractNum>
  <w:abstractNum w:abstractNumId="1">
    <w:nsid w:val="545682BC"/>
    <w:multiLevelType w:val="singleLevel"/>
    <w:tmpl w:val="545682BC"/>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FB5115"/>
    <w:rsid w:val="47FB5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列出段落1"/>
    <w:basedOn w:val="1"/>
    <w:autoRedefine/>
    <w:qFormat/>
    <w:uiPriority w:val="34"/>
    <w:pPr>
      <w:ind w:firstLine="420" w:firstLineChars="200"/>
    </w:pPr>
    <w:rPr>
      <w:rFonts w:ascii="Calibri" w:hAnsi="Calibri"/>
      <w:szCs w:val="22"/>
    </w:rPr>
  </w:style>
  <w:style w:type="paragraph" w:styleId="4">
    <w:name w:val="Body Text"/>
    <w:basedOn w:val="1"/>
    <w:qFormat/>
    <w:uiPriority w:val="0"/>
    <w:rPr>
      <w:rFonts w:ascii="宋体" w:hAnsi="宋体" w:eastAsia="宋体" w:cs="宋体"/>
      <w:sz w:val="18"/>
      <w:szCs w:val="18"/>
      <w:lang w:val="en-US" w:eastAsia="en-US" w:bidi="ar-SA"/>
    </w:rPr>
  </w:style>
  <w:style w:type="paragraph" w:styleId="5">
    <w:name w:val="Body Text Indent"/>
    <w:basedOn w:val="1"/>
    <w:next w:val="1"/>
    <w:unhideWhenUsed/>
    <w:qFormat/>
    <w:uiPriority w:val="0"/>
    <w:pPr>
      <w:spacing w:after="12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4"/>
    <w:unhideWhenUsed/>
    <w:qFormat/>
    <w:uiPriority w:val="99"/>
    <w:pPr>
      <w:ind w:firstLine="420" w:firstLineChars="100"/>
    </w:pPr>
    <w:rPr>
      <w:rFonts w:ascii="Times New Roman" w:hAnsi="Times New Roman"/>
      <w:sz w:val="18"/>
      <w:szCs w:val="18"/>
    </w:rPr>
  </w:style>
  <w:style w:type="paragraph" w:styleId="8">
    <w:name w:val="Body Text First Indent 2"/>
    <w:basedOn w:val="5"/>
    <w:next w:val="7"/>
    <w:unhideWhenUsed/>
    <w:qFormat/>
    <w:uiPriority w:val="99"/>
    <w:pPr>
      <w:widowControl w:val="0"/>
      <w:ind w:firstLine="420" w:firstLineChars="200"/>
      <w:jc w:val="both"/>
    </w:pPr>
    <w:rPr>
      <w:rFonts w:ascii="Calibri" w:hAnsi="Calibri" w:eastAsia="宋体"/>
      <w:sz w:val="21"/>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2025-08-05T02:22:00Z</dcterms:created>
  <dc:creator>知行合一</dc:creator>
  <cp:lastModifiedBy>知行合一</cp:lastModifiedBy>
  <dcterms:modified xsi:type="dcterms:W3CDTF">2025-08-05T02:22:59Z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C86A5C6B24A5474CA022B117E0093B3C_11</vt:lpwstr>
  </property>
  <property fmtid="{D5CDD505-2E9C-101B-9397-08002B2CF9AE}" pid="4" name="KSOTemplateDocerSaveRecord">
    <vt:lpwstr>eyJoZGlkIjoiZTNkZWFkYzExZmVkNmQzNTI0NDhlYzQ1ZmY3YTA4ZmIiLCJ1c2VySWQiOiIzMDQyODgxMTIifQ==</vt:lpwstr>
  </property>
</Properties>
</file>