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版本号：SXWZ2025ZB-XKYY-18120250805001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VTE防治系统项目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SXWZ2025ZB-XKYY-181</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VTE防治系统项目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SXWZ2025ZB-XKYY-181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VTE防治系统项目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西安市胸科医院VTE防治系统采购项目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须提供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3、税收缴纳证明：供应商须提供2024年7月至今已缴纳的至少一个月纳税证明或完税证明，依法免税的单位应提供相关证明材料；（以税款所属期限为准）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4、财务状况证明：提供经会计师事务所审计的2024年度财务审计报告，或在开标日期前六个月内其基本开户银行出具的资信证明</w:t>
      </w:r>
    </w:p>
    <w:p>
      <w:pPr>
        <w:pStyle w:val="null3"/>
      </w:pPr>
      <w:r>
        <w:rPr>
          <w:rFonts w:ascii="仿宋_GB2312" w:hAnsi="仿宋_GB2312" w:cs="仿宋_GB2312" w:eastAsia="仿宋_GB2312"/>
        </w:rPr>
        <w:t>5、书面声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进入西安市卫健委各级系统“黑名单”的，不得参与投标</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7、承诺函1：采购人职工及其配偶、直系亲属投资开办或在相关企业担任高管、独立董事等有重大利益关系职务的相关供应商，不得参与磋商（提供承诺函）</w:t>
      </w:r>
    </w:p>
    <w:p>
      <w:pPr>
        <w:pStyle w:val="null3"/>
      </w:pPr>
      <w:r>
        <w:rPr>
          <w:rFonts w:ascii="仿宋_GB2312" w:hAnsi="仿宋_GB2312" w:cs="仿宋_GB2312" w:eastAsia="仿宋_GB2312"/>
        </w:rPr>
        <w:t>8、承诺函2：单位负责人为同一人或者存在直接控股、管理关系的不同单位不得同时投标</w:t>
      </w:r>
    </w:p>
    <w:p>
      <w:pPr>
        <w:pStyle w:val="null3"/>
      </w:pPr>
      <w:r>
        <w:rPr>
          <w:rFonts w:ascii="仿宋_GB2312" w:hAnsi="仿宋_GB2312" w:cs="仿宋_GB2312" w:eastAsia="仿宋_GB2312"/>
        </w:rPr>
        <w:t>9、是否允许联合体磋商：本项目不接受联合体参与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航天大道东段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西安市胸科医院 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许芳芳 刘嘉辉 陈晓航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857号）的有关规定下浮20%收取，向采购代理机构一次付清代理服务费。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许芳芳 刘嘉辉 陈晓航</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地址：陕西省西安市高新区唐延路旺座现代C座2502室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西安市胸科医院VTE防治系统采购项目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625,000.00</w:t>
      </w:r>
    </w:p>
    <w:p>
      <w:pPr>
        <w:pStyle w:val="null3"/>
      </w:pPr>
      <w:r>
        <w:rPr>
          <w:rFonts w:ascii="仿宋_GB2312" w:hAnsi="仿宋_GB2312" w:cs="仿宋_GB2312" w:eastAsia="仿宋_GB2312"/>
        </w:rPr>
        <w:t>采购包最高限价（元）: 625,000.00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VTE防治系统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标的名称：VTE防治系统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本系统建设要基于医院现状，本着先进、实用的原则，利用先进的计算机、网络技术和医学信息处理技术，结合现代化的医院管理模式，为医院提供全面的、开放的、高效的、安全的、可持续扩展的系统。</w:t>
            </w:r>
          </w:p>
          <w:p>
            <w:pPr>
              <w:pStyle w:val="null3"/>
            </w:pPr>
            <w:r>
              <w:rPr>
                <w:rFonts w:ascii="仿宋_GB2312" w:hAnsi="仿宋_GB2312" w:cs="仿宋_GB2312" w:eastAsia="仿宋_GB2312"/>
                <w:sz w:val="21"/>
              </w:rPr>
              <w:t>1.标准化和开放性</w:t>
            </w:r>
          </w:p>
          <w:p>
            <w:pPr>
              <w:pStyle w:val="null3"/>
            </w:pPr>
            <w:r>
              <w:rPr>
                <w:rFonts w:ascii="仿宋_GB2312" w:hAnsi="仿宋_GB2312" w:cs="仿宋_GB2312" w:eastAsia="仿宋_GB2312"/>
                <w:sz w:val="21"/>
              </w:rPr>
              <w:t>遵循系统的标化和开放性，实现信息通讯与共享，规范信息技术标准。采用业务内标准的技术体系和设计方法，使系统具备与各种层次的平台的兼容性。在使用新技术的同时，充分考虑技术的标准化，严格按照国际国内相关标准设计实施。</w:t>
            </w:r>
          </w:p>
          <w:p>
            <w:pPr>
              <w:pStyle w:val="null3"/>
            </w:pPr>
            <w:r>
              <w:rPr>
                <w:rFonts w:ascii="仿宋_GB2312" w:hAnsi="仿宋_GB2312" w:cs="仿宋_GB2312" w:eastAsia="仿宋_GB2312"/>
                <w:sz w:val="21"/>
              </w:rPr>
              <w:t>2.先进性和超前性</w:t>
            </w:r>
          </w:p>
          <w:p>
            <w:pPr>
              <w:pStyle w:val="null3"/>
            </w:pPr>
            <w:r>
              <w:rPr>
                <w:rFonts w:ascii="仿宋_GB2312" w:hAnsi="仿宋_GB2312" w:cs="仿宋_GB2312" w:eastAsia="仿宋_GB2312"/>
                <w:sz w:val="21"/>
              </w:rPr>
              <w:t>在实用可靠的前提下，具有扩展性。技术上立足于长远发展，坚持选用开放性系统，使系统和将来的新技术能平滑过渡。采用先进的体系结构和技术发展的产品，确保整个系统高效运行。</w:t>
            </w:r>
          </w:p>
          <w:p>
            <w:pPr>
              <w:pStyle w:val="null3"/>
            </w:pPr>
            <w:r>
              <w:rPr>
                <w:rFonts w:ascii="仿宋_GB2312" w:hAnsi="仿宋_GB2312" w:cs="仿宋_GB2312" w:eastAsia="仿宋_GB2312"/>
                <w:sz w:val="21"/>
              </w:rPr>
              <w:t>3.实用性和方便性</w:t>
            </w:r>
          </w:p>
          <w:p>
            <w:pPr>
              <w:pStyle w:val="null3"/>
            </w:pPr>
            <w:r>
              <w:rPr>
                <w:rFonts w:ascii="仿宋_GB2312" w:hAnsi="仿宋_GB2312" w:cs="仿宋_GB2312" w:eastAsia="仿宋_GB2312"/>
                <w:sz w:val="21"/>
              </w:rPr>
              <w:t>系统建设以满足需求为首要目标，采用稳定可靠的成熟技术，保证系统长期安全运行。确保系统应用后能为各级业务和管理节点提供智能化支撑，以提高管理水平和工作的效率。</w:t>
            </w:r>
          </w:p>
          <w:p>
            <w:pPr>
              <w:pStyle w:val="null3"/>
            </w:pPr>
            <w:r>
              <w:rPr>
                <w:rFonts w:ascii="仿宋_GB2312" w:hAnsi="仿宋_GB2312" w:cs="仿宋_GB2312" w:eastAsia="仿宋_GB2312"/>
                <w:sz w:val="21"/>
              </w:rPr>
              <w:t>4.安全性和保密性</w:t>
            </w:r>
          </w:p>
          <w:p>
            <w:pPr>
              <w:pStyle w:val="null3"/>
            </w:pPr>
            <w:r>
              <w:rPr>
                <w:rFonts w:ascii="仿宋_GB2312" w:hAnsi="仿宋_GB2312" w:cs="仿宋_GB2312" w:eastAsia="仿宋_GB2312"/>
                <w:sz w:val="21"/>
              </w:rPr>
              <w:t>遵循有关信息安全标准，具有切实可行的安全保护和保密措施，确保数据永久安全。系统应提供多方式、多层次、多渠道的安全保密措施，防止各种形式与途径的非法侵入和机密信息的泄露，保证系统中数据的安全。</w:t>
            </w:r>
          </w:p>
          <w:p>
            <w:pPr>
              <w:pStyle w:val="null3"/>
            </w:pPr>
            <w:r>
              <w:rPr>
                <w:rFonts w:ascii="仿宋_GB2312" w:hAnsi="仿宋_GB2312" w:cs="仿宋_GB2312" w:eastAsia="仿宋_GB2312"/>
                <w:sz w:val="21"/>
              </w:rPr>
              <w:t>5.稳定性和可靠性</w:t>
            </w:r>
          </w:p>
          <w:p>
            <w:pPr>
              <w:pStyle w:val="null3"/>
            </w:pPr>
            <w:r>
              <w:rPr>
                <w:rFonts w:ascii="仿宋_GB2312" w:hAnsi="仿宋_GB2312" w:cs="仿宋_GB2312" w:eastAsia="仿宋_GB2312"/>
                <w:sz w:val="21"/>
              </w:rPr>
              <w:t>系统建成并投入使用后，将成为支撑系统平稳运转的运行平台和开发新业务系统的基础平台。因此系统必须从系统结构、设计方案、设备选型、厂商的技术服务、维护响应能力以及备件供应能力等方面考虑，使系统故障发生的可能性尽可能少，对各种可能出现的紧急情况有可行的应急预案。</w:t>
            </w:r>
          </w:p>
          <w:p>
            <w:pPr>
              <w:pStyle w:val="null3"/>
            </w:pPr>
            <w:r>
              <w:rPr>
                <w:rFonts w:ascii="仿宋_GB2312" w:hAnsi="仿宋_GB2312" w:cs="仿宋_GB2312" w:eastAsia="仿宋_GB2312"/>
                <w:sz w:val="21"/>
              </w:rPr>
              <w:t>6.可维护性和可扩展性</w:t>
            </w:r>
          </w:p>
          <w:p>
            <w:pPr>
              <w:pStyle w:val="null3"/>
            </w:pPr>
            <w:r>
              <w:rPr>
                <w:rFonts w:ascii="仿宋_GB2312" w:hAnsi="仿宋_GB2312" w:cs="仿宋_GB2312" w:eastAsia="仿宋_GB2312"/>
                <w:sz w:val="21"/>
              </w:rPr>
              <w:t>保证系统能在各种操作系统和不同的中间件平台上移植。实现信息标准统一，以便日后的系统维护。充分考虑在未来若干年内的发展趋势，具有一定的前瞻性，充分考虑系统接入AI模型及升级、扩容、扩充和维护的可行性。</w:t>
            </w:r>
          </w:p>
          <w:p>
            <w:pPr>
              <w:pStyle w:val="null3"/>
            </w:pPr>
            <w:r>
              <w:rPr>
                <w:rFonts w:ascii="仿宋_GB2312" w:hAnsi="仿宋_GB2312" w:cs="仿宋_GB2312" w:eastAsia="仿宋_GB2312"/>
                <w:sz w:val="21"/>
              </w:rPr>
              <w:t>二、建设内容</w:t>
            </w:r>
          </w:p>
          <w:p>
            <w:pPr>
              <w:pStyle w:val="null3"/>
            </w:pPr>
            <w:r>
              <w:rPr>
                <w:rFonts w:ascii="仿宋_GB2312" w:hAnsi="仿宋_GB2312" w:cs="仿宋_GB2312" w:eastAsia="仿宋_GB2312"/>
                <w:sz w:val="21"/>
              </w:rPr>
              <w:t>本项目是针对静脉血栓栓塞症（VTE）的预防和治疗所构建的一套综合管理系统，具体内容如下：</w:t>
            </w:r>
          </w:p>
          <w:p>
            <w:pPr>
              <w:pStyle w:val="null3"/>
            </w:pPr>
            <w:r>
              <w:rPr>
                <w:rFonts w:ascii="仿宋_GB2312" w:hAnsi="仿宋_GB2312" w:cs="仿宋_GB2312" w:eastAsia="仿宋_GB2312"/>
                <w:sz w:val="21"/>
              </w:rPr>
              <w:t>（一）系统技术规格及要求</w:t>
            </w:r>
          </w:p>
          <w:p>
            <w:pPr>
              <w:pStyle w:val="null3"/>
            </w:pPr>
            <w:r>
              <w:rPr>
                <w:rFonts w:ascii="仿宋_GB2312" w:hAnsi="仿宋_GB2312" w:cs="仿宋_GB2312" w:eastAsia="仿宋_GB2312"/>
                <w:sz w:val="21"/>
              </w:rPr>
              <w:t>1、安全要求：符合三级等保要求，系统服务器必须在医院内网安装，同时应具备多级权限控制，日志保留至少90天。</w:t>
            </w:r>
          </w:p>
          <w:p>
            <w:pPr>
              <w:pStyle w:val="null3"/>
            </w:pPr>
            <w:r>
              <w:rPr>
                <w:rFonts w:ascii="仿宋_GB2312" w:hAnsi="仿宋_GB2312" w:cs="仿宋_GB2312" w:eastAsia="仿宋_GB2312"/>
                <w:sz w:val="21"/>
              </w:rPr>
              <w:t>2、系统对接要求：</w:t>
            </w:r>
          </w:p>
          <w:p>
            <w:pPr>
              <w:pStyle w:val="null3"/>
            </w:pPr>
            <w:r>
              <w:rPr>
                <w:rFonts w:ascii="仿宋_GB2312" w:hAnsi="仿宋_GB2312" w:cs="仿宋_GB2312" w:eastAsia="仿宋_GB2312"/>
                <w:sz w:val="21"/>
              </w:rPr>
              <w:t>（1）符合原卫生部2002年颁布的《医院信息系统功能基本规范》；符合国家卫生健康委员会规划与信息司于2018年发布的《全国医院信息化建设标准与规范（试行）》。</w:t>
            </w:r>
          </w:p>
          <w:p>
            <w:pPr>
              <w:pStyle w:val="null3"/>
            </w:pPr>
            <w:r>
              <w:rPr>
                <w:rFonts w:ascii="仿宋_GB2312" w:hAnsi="仿宋_GB2312" w:cs="仿宋_GB2312" w:eastAsia="仿宋_GB2312"/>
                <w:sz w:val="21"/>
              </w:rPr>
              <w:t>（2）与我院信息系统对接，满足系统运行需要。</w:t>
            </w:r>
          </w:p>
          <w:p>
            <w:pPr>
              <w:pStyle w:val="null3"/>
            </w:pPr>
            <w:r>
              <w:rPr>
                <w:rFonts w:ascii="仿宋_GB2312" w:hAnsi="仿宋_GB2312" w:cs="仿宋_GB2312" w:eastAsia="仿宋_GB2312"/>
                <w:sz w:val="21"/>
              </w:rPr>
              <w:t>3、数据格式化要求：不需要电子病历实现结构化录入，可以从非结构化电子病历内容中，通过机器学习，自动抽取结构化信息。</w:t>
            </w:r>
          </w:p>
          <w:p>
            <w:pPr>
              <w:pStyle w:val="null3"/>
            </w:pPr>
            <w:r>
              <w:rPr>
                <w:rFonts w:ascii="仿宋_GB2312" w:hAnsi="仿宋_GB2312" w:cs="仿宋_GB2312" w:eastAsia="仿宋_GB2312"/>
                <w:sz w:val="21"/>
              </w:rPr>
              <w:t>4、终端用户操作性能指标：软件系统要体现易于理解掌握、操作简单、提示清晰、逻辑性强，直观简洁、帮助信息丰富等特点，保证操作人员以最快速度和最少的击键次数完成工作。</w:t>
            </w:r>
          </w:p>
          <w:p>
            <w:pPr>
              <w:pStyle w:val="null3"/>
            </w:pPr>
            <w:r>
              <w:rPr>
                <w:rFonts w:ascii="仿宋_GB2312" w:hAnsi="仿宋_GB2312" w:cs="仿宋_GB2312" w:eastAsia="仿宋_GB2312"/>
                <w:sz w:val="21"/>
              </w:rPr>
              <w:t>5、满足“全国肺栓塞和深静脉血栓形成防治能力建设项目”制定的《三级医院中心建设标准及评分细则（2022版）》、《医院内静脉血栓栓塞症防治质量评价与管理建议（2022版）》 的各项要求。</w:t>
            </w:r>
          </w:p>
          <w:p>
            <w:pPr>
              <w:pStyle w:val="null3"/>
            </w:pPr>
            <w:r>
              <w:rPr>
                <w:rFonts w:ascii="仿宋_GB2312" w:hAnsi="仿宋_GB2312" w:cs="仿宋_GB2312" w:eastAsia="仿宋_GB2312"/>
                <w:sz w:val="21"/>
              </w:rPr>
              <w:t>6、系统需满足《全国肺栓塞和深静脉血栓形成防治能力建设项目信息化应用与质控管理建议》对VTE信息系统四级标准及以上的技术标准，质保期内并满足智慧医疗五级、互联互通四甲、智慧服务三级等信息化建设三级甲等医院及满足科室需要。可接入构建多家医疗机构联通的城市/区域质控大脑中心，如后续医院需要接入区域质控大脑中心，中标人需完全配合医院改造/调整（具体方式如：接口、视图、ETL数据抽取、数据库复制等主流数据整合方式；（需提供以区域/多家医院为单位的质控大脑平台界面视图说明，投标文件中提供承诺）。</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rPr>
              <w:t>三、系统功能技术参数要求</w:t>
            </w:r>
          </w:p>
          <w:p>
            <w:pPr>
              <w:pStyle w:val="null3"/>
            </w:pPr>
            <w:r>
              <w:rPr>
                <w:rFonts w:ascii="仿宋_GB2312" w:hAnsi="仿宋_GB2312" w:cs="仿宋_GB2312" w:eastAsia="仿宋_GB2312"/>
                <w:sz w:val="21"/>
              </w:rPr>
              <w:t>（一）基础数据处理要求</w:t>
            </w:r>
          </w:p>
          <w:p>
            <w:pPr>
              <w:pStyle w:val="null3"/>
            </w:pPr>
            <w:r>
              <w:rPr>
                <w:rFonts w:ascii="仿宋_GB2312" w:hAnsi="仿宋_GB2312" w:cs="仿宋_GB2312" w:eastAsia="仿宋_GB2312"/>
                <w:sz w:val="21"/>
              </w:rPr>
              <w:t>1、VTE数据集成模块</w:t>
            </w:r>
          </w:p>
          <w:p>
            <w:pPr>
              <w:pStyle w:val="null3"/>
            </w:pPr>
            <w:r>
              <w:rPr>
                <w:rFonts w:ascii="仿宋_GB2312" w:hAnsi="仿宋_GB2312" w:cs="仿宋_GB2312" w:eastAsia="仿宋_GB2312"/>
                <w:sz w:val="21"/>
              </w:rPr>
              <w:t>VTE数据集成：根据项目数据范围及要求，以患者为中心进行VTE数据集成。实时数据采集将使用数据库复制技术对生产系统数据库业务数据表进行复制。历史数据集成将在医院提供的备份库进行数据集成。支持以ETL技术方式实现数据集成，并实现非结构化数据向结构化数据转换；支持数据实时采集，保证对生产系统数据库性能无影响。支持全量数据集成：患者临床数据全覆盖。</w:t>
            </w:r>
          </w:p>
          <w:p>
            <w:pPr>
              <w:pStyle w:val="null3"/>
            </w:pPr>
            <w:r>
              <w:rPr>
                <w:rFonts w:ascii="仿宋_GB2312" w:hAnsi="仿宋_GB2312" w:cs="仿宋_GB2312" w:eastAsia="仿宋_GB2312"/>
                <w:sz w:val="21"/>
              </w:rPr>
              <w:t>2、VTE数据库</w:t>
            </w:r>
          </w:p>
          <w:p>
            <w:pPr>
              <w:pStyle w:val="null3"/>
            </w:pPr>
            <w:r>
              <w:rPr>
                <w:rFonts w:ascii="仿宋_GB2312" w:hAnsi="仿宋_GB2312" w:cs="仿宋_GB2312" w:eastAsia="仿宋_GB2312"/>
                <w:sz w:val="21"/>
              </w:rPr>
              <w:t>治理后的数据自动汇总形成VTE数据库，供后续辅助决策，智能评估，质控统计及科研使用。</w:t>
            </w:r>
          </w:p>
          <w:p>
            <w:pPr>
              <w:pStyle w:val="null3"/>
            </w:pPr>
            <w:r>
              <w:rPr>
                <w:rFonts w:ascii="仿宋_GB2312" w:hAnsi="仿宋_GB2312" w:cs="仿宋_GB2312" w:eastAsia="仿宋_GB2312"/>
                <w:sz w:val="21"/>
              </w:rPr>
              <w:t>二）VTE智能评估</w:t>
            </w:r>
          </w:p>
          <w:p>
            <w:pPr>
              <w:pStyle w:val="null3"/>
            </w:pPr>
            <w:r>
              <w:rPr>
                <w:rFonts w:ascii="仿宋_GB2312" w:hAnsi="仿宋_GB2312" w:cs="仿宋_GB2312" w:eastAsia="仿宋_GB2312"/>
                <w:sz w:val="21"/>
              </w:rPr>
              <w:t>1、VTE量表智能评估</w:t>
            </w:r>
          </w:p>
          <w:p>
            <w:pPr>
              <w:pStyle w:val="null3"/>
            </w:pPr>
            <w:r>
              <w:rPr>
                <w:rFonts w:ascii="仿宋_GB2312" w:hAnsi="仿宋_GB2312" w:cs="仿宋_GB2312" w:eastAsia="仿宋_GB2312"/>
                <w:sz w:val="21"/>
              </w:rPr>
              <w:t>1.1支持自动排除不符合评估管理条件的患者</w:t>
            </w:r>
          </w:p>
          <w:p>
            <w:pPr>
              <w:pStyle w:val="null3"/>
            </w:pPr>
            <w:r>
              <w:rPr>
                <w:rFonts w:ascii="仿宋_GB2312" w:hAnsi="仿宋_GB2312" w:cs="仿宋_GB2312" w:eastAsia="仿宋_GB2312"/>
                <w:sz w:val="21"/>
              </w:rPr>
              <w:t>1.2支持不同评估量表。根据“全国肺栓塞和深静脉血栓形成防治能力建设办公室”于2021年发行的《VTE防治质量评价与管理建议（试行版）》所推荐的评估表单要求进行配置，包括：Caprini评估模型、Padua评估模型、妇产科评估（基于2020年发布《上海市产科静脉血栓栓塞症防治的专家共识》，RCOG版量表）、肿瘤科评估（基于《肿瘤患者静脉血栓防治指南 CSCO 2020》）、外科出血风险评估模型、内科出血评估模型（参考《2018-中国肺栓塞诊治与预防指南-YX14A07指南规范》）、机械预防禁忌评估模型、DVT Wells评估模型、PE 简化Wells评估模型等。</w:t>
            </w:r>
          </w:p>
          <w:p>
            <w:pPr>
              <w:pStyle w:val="null3"/>
            </w:pPr>
            <w:r>
              <w:rPr>
                <w:rFonts w:ascii="仿宋_GB2312" w:hAnsi="仿宋_GB2312" w:cs="仿宋_GB2312" w:eastAsia="仿宋_GB2312"/>
                <w:sz w:val="21"/>
              </w:rPr>
              <w:t>1.3具备VTE医学工具箱功能（需包含VTE常用量表合集Caprini、Padua、内科出血风险等量表、外科出血风险评估量表、wells、抗凝禁忌评估、妊娠期和产褥期VTE风险评估、妊娠期和产褥期VTE危险因素评分RCOG等评估功能）。</w:t>
            </w:r>
          </w:p>
          <w:p>
            <w:pPr>
              <w:pStyle w:val="null3"/>
            </w:pPr>
            <w:r>
              <w:rPr>
                <w:rFonts w:ascii="仿宋_GB2312" w:hAnsi="仿宋_GB2312" w:cs="仿宋_GB2312" w:eastAsia="仿宋_GB2312"/>
                <w:sz w:val="21"/>
              </w:rPr>
              <w:t>2、VTE的AI预测评估</w:t>
            </w:r>
          </w:p>
          <w:p>
            <w:pPr>
              <w:pStyle w:val="null3"/>
            </w:pPr>
            <w:r>
              <w:rPr>
                <w:rFonts w:ascii="仿宋_GB2312" w:hAnsi="仿宋_GB2312" w:cs="仿宋_GB2312" w:eastAsia="仿宋_GB2312"/>
                <w:sz w:val="21"/>
              </w:rPr>
              <w:t>2.1支持AI自动评估，（风险评估表及出血风险评估表），保证评估高准确率。</w:t>
            </w:r>
          </w:p>
          <w:p>
            <w:pPr>
              <w:pStyle w:val="null3"/>
            </w:pPr>
            <w:r>
              <w:rPr>
                <w:rFonts w:ascii="仿宋_GB2312" w:hAnsi="仿宋_GB2312" w:cs="仿宋_GB2312" w:eastAsia="仿宋_GB2312"/>
                <w:sz w:val="21"/>
              </w:rPr>
              <w:t>2.2支持基于AI模型进行VTE预测模型构建，能够识别患者入院、转科、侵入性操作、出院等状态，自动触发评估量表，对评估量表可设置可卡控，确保评估准确及时。可自定义设置评估节点。</w:t>
            </w:r>
          </w:p>
          <w:p>
            <w:pPr>
              <w:pStyle w:val="null3"/>
            </w:pPr>
            <w:r>
              <w:rPr>
                <w:rFonts w:ascii="仿宋_GB2312" w:hAnsi="仿宋_GB2312" w:cs="仿宋_GB2312" w:eastAsia="仿宋_GB2312"/>
                <w:sz w:val="21"/>
              </w:rPr>
              <w:t>2.3支持评估表格打印。</w:t>
            </w:r>
          </w:p>
          <w:p>
            <w:pPr>
              <w:pStyle w:val="null3"/>
            </w:pPr>
            <w:r>
              <w:rPr>
                <w:rFonts w:ascii="仿宋_GB2312" w:hAnsi="仿宋_GB2312" w:cs="仿宋_GB2312" w:eastAsia="仿宋_GB2312"/>
                <w:sz w:val="21"/>
              </w:rPr>
              <w:t>2.4能够判断出VTE确诊患者及出血患者提醒专科评估以及上报管理部分。</w:t>
            </w:r>
          </w:p>
          <w:p>
            <w:pPr>
              <w:pStyle w:val="null3"/>
            </w:pPr>
            <w:r>
              <w:rPr>
                <w:rFonts w:ascii="仿宋_GB2312" w:hAnsi="仿宋_GB2312" w:cs="仿宋_GB2312" w:eastAsia="仿宋_GB2312"/>
                <w:sz w:val="21"/>
              </w:rPr>
              <w:t>3、VTE疾病管理方案</w:t>
            </w:r>
          </w:p>
          <w:p>
            <w:pPr>
              <w:pStyle w:val="null3"/>
            </w:pPr>
            <w:r>
              <w:rPr>
                <w:rFonts w:ascii="仿宋_GB2312" w:hAnsi="仿宋_GB2312" w:cs="仿宋_GB2312" w:eastAsia="仿宋_GB2312"/>
                <w:sz w:val="21"/>
              </w:rPr>
              <w:t>3.1通过患者列表，能够查询患者当前VTE完成及未完成情况，并且能够用不同颜色区分。</w:t>
            </w:r>
          </w:p>
          <w:p>
            <w:pPr>
              <w:pStyle w:val="null3"/>
            </w:pPr>
            <w:r>
              <w:rPr>
                <w:rFonts w:ascii="仿宋_GB2312" w:hAnsi="仿宋_GB2312" w:cs="仿宋_GB2312" w:eastAsia="仿宋_GB2312"/>
                <w:sz w:val="21"/>
              </w:rPr>
              <w:t>3.2根据预防流程设置各个节点，并且能进行追踪，能设置卡控。</w:t>
            </w:r>
          </w:p>
          <w:p>
            <w:pPr>
              <w:pStyle w:val="null3"/>
            </w:pPr>
            <w:r>
              <w:rPr>
                <w:rFonts w:ascii="仿宋_GB2312" w:hAnsi="仿宋_GB2312" w:cs="仿宋_GB2312" w:eastAsia="仿宋_GB2312"/>
                <w:sz w:val="21"/>
              </w:rPr>
              <w:t>3.3支持以时间轴的形式查看当前患者。</w:t>
            </w:r>
          </w:p>
          <w:p>
            <w:pPr>
              <w:pStyle w:val="null3"/>
            </w:pPr>
            <w:r>
              <w:rPr>
                <w:rFonts w:ascii="仿宋_GB2312" w:hAnsi="仿宋_GB2312" w:cs="仿宋_GB2312" w:eastAsia="仿宋_GB2312"/>
                <w:sz w:val="21"/>
              </w:rPr>
              <w:t>3.4操作日志能够查询执行操作、执行人、操作时间信息。</w:t>
            </w:r>
          </w:p>
          <w:p>
            <w:pPr>
              <w:pStyle w:val="null3"/>
            </w:pPr>
            <w:r>
              <w:rPr>
                <w:rFonts w:ascii="仿宋_GB2312" w:hAnsi="仿宋_GB2312" w:cs="仿宋_GB2312" w:eastAsia="仿宋_GB2312"/>
                <w:sz w:val="21"/>
              </w:rPr>
              <w:t>3.5对确诊VTE患者终身标识。</w:t>
            </w:r>
          </w:p>
          <w:p>
            <w:pPr>
              <w:pStyle w:val="null3"/>
            </w:pPr>
            <w:r>
              <w:rPr>
                <w:rFonts w:ascii="仿宋_GB2312" w:hAnsi="仿宋_GB2312" w:cs="仿宋_GB2312" w:eastAsia="仿宋_GB2312"/>
                <w:sz w:val="21"/>
              </w:rPr>
              <w:t>3.6支持评估历史记录查看。</w:t>
            </w:r>
          </w:p>
          <w:p>
            <w:pPr>
              <w:pStyle w:val="null3"/>
            </w:pPr>
            <w:r>
              <w:rPr>
                <w:rFonts w:ascii="仿宋_GB2312" w:hAnsi="仿宋_GB2312" w:cs="仿宋_GB2312" w:eastAsia="仿宋_GB2312"/>
                <w:sz w:val="21"/>
              </w:rPr>
              <w:t>3.7支持评估记录归档与打印（评估完成后，VTE系统支持评估记录的归档与打印）。</w:t>
            </w:r>
          </w:p>
          <w:p>
            <w:pPr>
              <w:pStyle w:val="null3"/>
            </w:pPr>
            <w:r>
              <w:rPr>
                <w:rFonts w:ascii="仿宋_GB2312" w:hAnsi="仿宋_GB2312" w:cs="仿宋_GB2312" w:eastAsia="仿宋_GB2312"/>
                <w:sz w:val="21"/>
              </w:rPr>
              <w:t>3.8确诊静脉血栓栓塞症患者高亮提示。</w:t>
            </w:r>
          </w:p>
          <w:p>
            <w:pPr>
              <w:pStyle w:val="null3"/>
            </w:pPr>
            <w:r>
              <w:rPr>
                <w:rFonts w:ascii="仿宋_GB2312" w:hAnsi="仿宋_GB2312" w:cs="仿宋_GB2312" w:eastAsia="仿宋_GB2312"/>
                <w:sz w:val="21"/>
              </w:rPr>
              <w:t>▲3.9.支持根据患者AI模型预测高危的结果预警，系统提供检查检验项目等提醒措施，方便临床进行排查，减少漏诊。</w:t>
            </w:r>
          </w:p>
          <w:p>
            <w:pPr>
              <w:pStyle w:val="null3"/>
            </w:pPr>
            <w:r>
              <w:rPr>
                <w:rFonts w:ascii="仿宋_GB2312" w:hAnsi="仿宋_GB2312" w:cs="仿宋_GB2312" w:eastAsia="仿宋_GB2312"/>
                <w:sz w:val="21"/>
              </w:rPr>
              <w:t>4、VTE诊疗过程管理（此所有项需提供现场演示）</w:t>
            </w:r>
          </w:p>
          <w:p>
            <w:pPr>
              <w:pStyle w:val="null3"/>
            </w:pPr>
            <w:r>
              <w:rPr>
                <w:rFonts w:ascii="仿宋_GB2312" w:hAnsi="仿宋_GB2312" w:cs="仿宋_GB2312" w:eastAsia="仿宋_GB2312"/>
                <w:sz w:val="21"/>
              </w:rPr>
              <w:t>4.1支持根据评分情况弹出适宜医嘱，并可供回写病历、复制。</w:t>
            </w:r>
          </w:p>
          <w:p>
            <w:pPr>
              <w:pStyle w:val="null3"/>
            </w:pPr>
            <w:r>
              <w:rPr>
                <w:rFonts w:ascii="仿宋_GB2312" w:hAnsi="仿宋_GB2312" w:cs="仿宋_GB2312" w:eastAsia="仿宋_GB2312"/>
                <w:sz w:val="21"/>
              </w:rPr>
              <w:t>4.2支持根据评分结果自动生成病历文本，并回写。</w:t>
            </w:r>
          </w:p>
          <w:p>
            <w:pPr>
              <w:pStyle w:val="null3"/>
            </w:pPr>
            <w:r>
              <w:rPr>
                <w:rFonts w:ascii="仿宋_GB2312" w:hAnsi="仿宋_GB2312" w:cs="仿宋_GB2312" w:eastAsia="仿宋_GB2312"/>
                <w:sz w:val="21"/>
              </w:rPr>
              <w:t>4.3支持根据评分结果、预防措施生成相关知情同意书或者提醒文本。</w:t>
            </w:r>
          </w:p>
          <w:p>
            <w:pPr>
              <w:pStyle w:val="null3"/>
            </w:pPr>
            <w:r>
              <w:rPr>
                <w:rFonts w:ascii="仿宋_GB2312" w:hAnsi="仿宋_GB2312" w:cs="仿宋_GB2312" w:eastAsia="仿宋_GB2312"/>
                <w:sz w:val="21"/>
              </w:rPr>
              <w:t>4.4当患者VTE评估结果为中/高危时，系统应自动根据患者的评分结果推荐合适的预防医嘱和处置措施。</w:t>
            </w:r>
          </w:p>
          <w:p>
            <w:pPr>
              <w:pStyle w:val="null3"/>
            </w:pPr>
            <w:r>
              <w:rPr>
                <w:rFonts w:ascii="仿宋_GB2312" w:hAnsi="仿宋_GB2312" w:cs="仿宋_GB2312" w:eastAsia="仿宋_GB2312"/>
                <w:sz w:val="21"/>
              </w:rPr>
              <w:t>4.5当患者VTE评估结果为中/高危，且出血风险为高危时，系统应主动推荐医生下达机械预防医嘱。</w:t>
            </w:r>
          </w:p>
          <w:p>
            <w:pPr>
              <w:pStyle w:val="null3"/>
            </w:pPr>
            <w:r>
              <w:rPr>
                <w:rFonts w:ascii="仿宋_GB2312" w:hAnsi="仿宋_GB2312" w:cs="仿宋_GB2312" w:eastAsia="仿宋_GB2312"/>
                <w:sz w:val="21"/>
              </w:rPr>
              <w:t>4.6当患者出血风险为高危且无机械禁忌症，系统应主动推荐医生下达机械预防医嘱。</w:t>
            </w:r>
          </w:p>
          <w:p>
            <w:pPr>
              <w:pStyle w:val="null3"/>
            </w:pPr>
            <w:r>
              <w:rPr>
                <w:rFonts w:ascii="仿宋_GB2312" w:hAnsi="仿宋_GB2312" w:cs="仿宋_GB2312" w:eastAsia="仿宋_GB2312"/>
                <w:sz w:val="21"/>
              </w:rPr>
              <w:t>4.7.当患者VTE评估结果为中/高危，且出血风险为低危时，系统应主动提醒（包括但不限弹框提醒）医生下达抗凝药物医嘱以预防血栓，若医生有其他顾虑，需写明原因，原因可进行点选。</w:t>
            </w:r>
          </w:p>
          <w:p>
            <w:pPr>
              <w:pStyle w:val="null3"/>
            </w:pPr>
            <w:r>
              <w:rPr>
                <w:rFonts w:ascii="仿宋_GB2312" w:hAnsi="仿宋_GB2312" w:cs="仿宋_GB2312" w:eastAsia="仿宋_GB2312"/>
                <w:sz w:val="21"/>
              </w:rPr>
              <w:t>三）医护小助手</w:t>
            </w:r>
          </w:p>
          <w:p>
            <w:pPr>
              <w:pStyle w:val="null3"/>
            </w:pPr>
            <w:r>
              <w:rPr>
                <w:rFonts w:ascii="仿宋_GB2312" w:hAnsi="仿宋_GB2312" w:cs="仿宋_GB2312" w:eastAsia="仿宋_GB2312"/>
                <w:sz w:val="21"/>
              </w:rPr>
              <w:t>1、医生、护士所在科室或病区在院患者</w:t>
            </w:r>
          </w:p>
          <w:p>
            <w:pPr>
              <w:pStyle w:val="null3"/>
            </w:pPr>
            <w:r>
              <w:rPr>
                <w:rFonts w:ascii="仿宋_GB2312" w:hAnsi="仿宋_GB2312" w:cs="仿宋_GB2312" w:eastAsia="仿宋_GB2312"/>
                <w:sz w:val="21"/>
              </w:rPr>
              <w:t>支持列表显示患者VTE风险等级以标签形式显示，同时以红、黄、绿作为颜色区分。</w:t>
            </w:r>
          </w:p>
          <w:p>
            <w:pPr>
              <w:pStyle w:val="null3"/>
            </w:pPr>
            <w:r>
              <w:rPr>
                <w:rFonts w:ascii="仿宋_GB2312" w:hAnsi="仿宋_GB2312" w:cs="仿宋_GB2312" w:eastAsia="仿宋_GB2312"/>
                <w:sz w:val="21"/>
              </w:rPr>
              <w:t>支持列表显示患者基本信息：床号、姓名、性别、年龄、住院号。</w:t>
            </w:r>
          </w:p>
          <w:p>
            <w:pPr>
              <w:pStyle w:val="null3"/>
            </w:pPr>
            <w:r>
              <w:rPr>
                <w:rFonts w:ascii="仿宋_GB2312" w:hAnsi="仿宋_GB2312" w:cs="仿宋_GB2312" w:eastAsia="仿宋_GB2312"/>
                <w:sz w:val="21"/>
              </w:rPr>
              <w:t>支持列表显示患者D-二聚体升高警示。</w:t>
            </w:r>
          </w:p>
          <w:p>
            <w:pPr>
              <w:pStyle w:val="null3"/>
            </w:pPr>
            <w:r>
              <w:rPr>
                <w:rFonts w:ascii="仿宋_GB2312" w:hAnsi="仿宋_GB2312" w:cs="仿宋_GB2312" w:eastAsia="仿宋_GB2312"/>
                <w:sz w:val="21"/>
              </w:rPr>
              <w:t>支持列表显示患者当前执行的预防措施，如患者有相关预防禁忌，执行的措施会显示为红色作为警示。</w:t>
            </w:r>
          </w:p>
          <w:p>
            <w:pPr>
              <w:pStyle w:val="null3"/>
            </w:pPr>
            <w:r>
              <w:rPr>
                <w:rFonts w:ascii="仿宋_GB2312" w:hAnsi="仿宋_GB2312" w:cs="仿宋_GB2312" w:eastAsia="仿宋_GB2312"/>
                <w:sz w:val="21"/>
              </w:rPr>
              <w:t>支持列表显示患者患者预防禁忌图标。</w:t>
            </w:r>
          </w:p>
          <w:p>
            <w:pPr>
              <w:pStyle w:val="null3"/>
            </w:pPr>
            <w:r>
              <w:rPr>
                <w:rFonts w:ascii="仿宋_GB2312" w:hAnsi="仿宋_GB2312" w:cs="仿宋_GB2312" w:eastAsia="仿宋_GB2312"/>
                <w:sz w:val="21"/>
              </w:rPr>
              <w:t>支持列表图标鼠标焦点释意。</w:t>
            </w:r>
          </w:p>
          <w:p>
            <w:pPr>
              <w:pStyle w:val="null3"/>
            </w:pPr>
            <w:r>
              <w:rPr>
                <w:rFonts w:ascii="仿宋_GB2312" w:hAnsi="仿宋_GB2312" w:cs="仿宋_GB2312" w:eastAsia="仿宋_GB2312"/>
                <w:sz w:val="21"/>
              </w:rPr>
              <w:t>支持显示选中患者的部分诊疗信息：最新的评分信息、最新的D-二聚体检验信息、最新的DVT影像报告、最新的PE影像报告、最新的VTE相关医嘱、最新的出血事件记录。</w:t>
            </w:r>
          </w:p>
          <w:p>
            <w:pPr>
              <w:pStyle w:val="null3"/>
            </w:pPr>
            <w:r>
              <w:rPr>
                <w:rFonts w:ascii="仿宋_GB2312" w:hAnsi="仿宋_GB2312" w:cs="仿宋_GB2312" w:eastAsia="仿宋_GB2312"/>
                <w:sz w:val="21"/>
              </w:rPr>
              <w:t>支持点击“查看详情”跳转到后台患者评分记录页面。</w:t>
            </w:r>
          </w:p>
          <w:p>
            <w:pPr>
              <w:pStyle w:val="null3"/>
            </w:pPr>
            <w:r>
              <w:rPr>
                <w:rFonts w:ascii="仿宋_GB2312" w:hAnsi="仿宋_GB2312" w:cs="仿宋_GB2312" w:eastAsia="仿宋_GB2312"/>
                <w:sz w:val="21"/>
              </w:rPr>
              <w:t>支持点击“创建评分”跳转到新建评分页面。</w:t>
            </w:r>
          </w:p>
          <w:p>
            <w:pPr>
              <w:pStyle w:val="null3"/>
            </w:pPr>
            <w:r>
              <w:rPr>
                <w:rFonts w:ascii="仿宋_GB2312" w:hAnsi="仿宋_GB2312" w:cs="仿宋_GB2312" w:eastAsia="仿宋_GB2312"/>
                <w:sz w:val="21"/>
              </w:rPr>
              <w:t>支持以床号、姓名、住院号进行患者查找。</w:t>
            </w:r>
          </w:p>
          <w:p>
            <w:pPr>
              <w:pStyle w:val="null3"/>
            </w:pPr>
            <w:r>
              <w:rPr>
                <w:rFonts w:ascii="仿宋_GB2312" w:hAnsi="仿宋_GB2312" w:cs="仿宋_GB2312" w:eastAsia="仿宋_GB2312"/>
                <w:sz w:val="21"/>
              </w:rPr>
              <w:t>支持气泡提醒评分未确认条数。</w:t>
            </w:r>
          </w:p>
          <w:p>
            <w:pPr>
              <w:pStyle w:val="null3"/>
            </w:pPr>
            <w:r>
              <w:rPr>
                <w:rFonts w:ascii="仿宋_GB2312" w:hAnsi="仿宋_GB2312" w:cs="仿宋_GB2312" w:eastAsia="仿宋_GB2312"/>
                <w:sz w:val="21"/>
              </w:rPr>
              <w:t>2、医生、护士所在科室或病区评分未确认患者</w:t>
            </w:r>
          </w:p>
          <w:p>
            <w:pPr>
              <w:pStyle w:val="null3"/>
            </w:pPr>
            <w:r>
              <w:rPr>
                <w:rFonts w:ascii="仿宋_GB2312" w:hAnsi="仿宋_GB2312" w:cs="仿宋_GB2312" w:eastAsia="仿宋_GB2312"/>
                <w:sz w:val="21"/>
              </w:rPr>
              <w:t>支持列表显示未确认评分的患者信息：床号、姓名、性别、年龄、住院号、未确认评分的信息来源。</w:t>
            </w:r>
          </w:p>
          <w:p>
            <w:pPr>
              <w:pStyle w:val="null3"/>
            </w:pPr>
            <w:r>
              <w:rPr>
                <w:rFonts w:ascii="仿宋_GB2312" w:hAnsi="仿宋_GB2312" w:cs="仿宋_GB2312" w:eastAsia="仿宋_GB2312"/>
                <w:sz w:val="21"/>
              </w:rPr>
              <w:t>支持点击“点击确认”跳转评分详情。</w:t>
            </w:r>
          </w:p>
          <w:p>
            <w:pPr>
              <w:pStyle w:val="null3"/>
            </w:pPr>
            <w:r>
              <w:rPr>
                <w:rFonts w:ascii="仿宋_GB2312" w:hAnsi="仿宋_GB2312" w:cs="仿宋_GB2312" w:eastAsia="仿宋_GB2312"/>
                <w:sz w:val="21"/>
              </w:rPr>
              <w:t>支持以床号、姓名、住院号进行患者查找。</w:t>
            </w:r>
          </w:p>
          <w:p>
            <w:pPr>
              <w:pStyle w:val="null3"/>
            </w:pPr>
            <w:r>
              <w:rPr>
                <w:rFonts w:ascii="仿宋_GB2312" w:hAnsi="仿宋_GB2312" w:cs="仿宋_GB2312" w:eastAsia="仿宋_GB2312"/>
                <w:sz w:val="21"/>
              </w:rPr>
              <w:t>3、医生、护士所在科室或病区72小时内出院患者</w:t>
            </w:r>
          </w:p>
          <w:p>
            <w:pPr>
              <w:pStyle w:val="null3"/>
            </w:pPr>
            <w:r>
              <w:rPr>
                <w:rFonts w:ascii="仿宋_GB2312" w:hAnsi="仿宋_GB2312" w:cs="仿宋_GB2312" w:eastAsia="仿宋_GB2312"/>
                <w:sz w:val="21"/>
              </w:rPr>
              <w:t>支持列表显示患者基本信息：姓名、性别、年龄、住院号、出院时间。</w:t>
            </w:r>
          </w:p>
          <w:p>
            <w:pPr>
              <w:pStyle w:val="null3"/>
            </w:pPr>
            <w:r>
              <w:rPr>
                <w:rFonts w:ascii="仿宋_GB2312" w:hAnsi="仿宋_GB2312" w:cs="仿宋_GB2312" w:eastAsia="仿宋_GB2312"/>
                <w:sz w:val="21"/>
              </w:rPr>
              <w:t>支持点击患者查看详情，跳转评分记录页面。</w:t>
            </w:r>
          </w:p>
          <w:p>
            <w:pPr>
              <w:pStyle w:val="null3"/>
            </w:pPr>
            <w:r>
              <w:rPr>
                <w:rFonts w:ascii="仿宋_GB2312" w:hAnsi="仿宋_GB2312" w:cs="仿宋_GB2312" w:eastAsia="仿宋_GB2312"/>
                <w:sz w:val="21"/>
              </w:rPr>
              <w:t>支持点击患者创建评分，跳转新建评分页面。</w:t>
            </w:r>
          </w:p>
          <w:p>
            <w:pPr>
              <w:pStyle w:val="null3"/>
            </w:pPr>
            <w:r>
              <w:rPr>
                <w:rFonts w:ascii="仿宋_GB2312" w:hAnsi="仿宋_GB2312" w:cs="仿宋_GB2312" w:eastAsia="仿宋_GB2312"/>
                <w:sz w:val="21"/>
              </w:rPr>
              <w:t>支持以床号、姓名、住院号进行患者查找。</w:t>
            </w:r>
          </w:p>
          <w:p>
            <w:pPr>
              <w:pStyle w:val="null3"/>
            </w:pPr>
            <w:r>
              <w:rPr>
                <w:rFonts w:ascii="仿宋_GB2312" w:hAnsi="仿宋_GB2312" w:cs="仿宋_GB2312" w:eastAsia="仿宋_GB2312"/>
                <w:sz w:val="21"/>
              </w:rPr>
              <w:t>四）查询</w:t>
            </w:r>
          </w:p>
          <w:p>
            <w:pPr>
              <w:pStyle w:val="null3"/>
            </w:pPr>
            <w:r>
              <w:rPr>
                <w:rFonts w:ascii="仿宋_GB2312" w:hAnsi="仿宋_GB2312" w:cs="仿宋_GB2312" w:eastAsia="仿宋_GB2312"/>
                <w:sz w:val="21"/>
              </w:rPr>
              <w:t>1、数据查询</w:t>
            </w:r>
          </w:p>
          <w:p>
            <w:pPr>
              <w:pStyle w:val="null3"/>
            </w:pPr>
            <w:r>
              <w:rPr>
                <w:rFonts w:ascii="仿宋_GB2312" w:hAnsi="仿宋_GB2312" w:cs="仿宋_GB2312" w:eastAsia="仿宋_GB2312"/>
                <w:sz w:val="21"/>
              </w:rPr>
              <w:t>1.1数据可随时进行自动统计和趋势分析，可一键统计《2022年度三级医院评审标准》、《国家医疗服务质量安全报告》中所要求上报的VTE相关数据，可查看和导出数据报表。（此项需提供现场演示）</w:t>
            </w:r>
          </w:p>
          <w:p>
            <w:pPr>
              <w:pStyle w:val="null3"/>
            </w:pPr>
            <w:r>
              <w:rPr>
                <w:rFonts w:ascii="仿宋_GB2312" w:hAnsi="仿宋_GB2312" w:cs="仿宋_GB2312" w:eastAsia="仿宋_GB2312"/>
                <w:sz w:val="21"/>
              </w:rPr>
              <w:t>1.2支持其他形式的数据查询导出。</w:t>
            </w:r>
          </w:p>
          <w:p>
            <w:pPr>
              <w:pStyle w:val="null3"/>
            </w:pPr>
            <w:r>
              <w:rPr>
                <w:rFonts w:ascii="仿宋_GB2312" w:hAnsi="仿宋_GB2312" w:cs="仿宋_GB2312" w:eastAsia="仿宋_GB2312"/>
                <w:sz w:val="21"/>
              </w:rPr>
              <w:t>五）VTE质量管控</w:t>
            </w:r>
          </w:p>
          <w:p>
            <w:pPr>
              <w:pStyle w:val="null3"/>
            </w:pPr>
            <w:r>
              <w:rPr>
                <w:rFonts w:ascii="仿宋_GB2312" w:hAnsi="仿宋_GB2312" w:cs="仿宋_GB2312" w:eastAsia="仿宋_GB2312"/>
                <w:sz w:val="21"/>
              </w:rPr>
              <w:t>1、运营分析：支持统计全院不同科室VTE患者平均住院日及平均住院费用等。</w:t>
            </w:r>
          </w:p>
          <w:p>
            <w:pPr>
              <w:pStyle w:val="null3"/>
            </w:pPr>
            <w:r>
              <w:rPr>
                <w:rFonts w:ascii="仿宋_GB2312" w:hAnsi="仿宋_GB2312" w:cs="仿宋_GB2312" w:eastAsia="仿宋_GB2312"/>
                <w:sz w:val="21"/>
              </w:rPr>
              <w:t>2、临床质量分析</w:t>
            </w:r>
          </w:p>
          <w:p>
            <w:pPr>
              <w:pStyle w:val="null3"/>
            </w:pPr>
            <w:r>
              <w:rPr>
                <w:rFonts w:ascii="仿宋_GB2312" w:hAnsi="仿宋_GB2312" w:cs="仿宋_GB2312" w:eastAsia="仿宋_GB2312"/>
                <w:sz w:val="21"/>
              </w:rPr>
              <w:t>2.1支持统计患者初始评估、术后评估、转科评估、出院前评估患者例数以及评估率，包含院内使用的所有评估表。</w:t>
            </w:r>
          </w:p>
          <w:p>
            <w:pPr>
              <w:pStyle w:val="null3"/>
            </w:pPr>
            <w:r>
              <w:rPr>
                <w:rFonts w:ascii="仿宋_GB2312" w:hAnsi="仿宋_GB2312" w:cs="仿宋_GB2312" w:eastAsia="仿宋_GB2312"/>
                <w:sz w:val="21"/>
              </w:rPr>
              <w:t>▲2.2支持统计全院及各科室低、中、高危患者例数、药物预防例数、机械预防例数、药物联合机械预防例数以及各类预防率。</w:t>
            </w:r>
          </w:p>
          <w:p>
            <w:pPr>
              <w:pStyle w:val="null3"/>
            </w:pPr>
            <w:r>
              <w:rPr>
                <w:rFonts w:ascii="仿宋_GB2312" w:hAnsi="仿宋_GB2312" w:cs="仿宋_GB2312" w:eastAsia="仿宋_GB2312"/>
                <w:sz w:val="21"/>
              </w:rPr>
              <w:t>2.3支持统计全院及各科室完成VTE检查的患者例数及明细（检查包括D-二聚体、下肢静脉超声、CTPA）。</w:t>
            </w:r>
          </w:p>
          <w:p>
            <w:pPr>
              <w:pStyle w:val="null3"/>
            </w:pPr>
            <w:r>
              <w:rPr>
                <w:rFonts w:ascii="仿宋_GB2312" w:hAnsi="仿宋_GB2312" w:cs="仿宋_GB2312" w:eastAsia="仿宋_GB2312"/>
                <w:sz w:val="21"/>
              </w:rPr>
              <w:t>2.4支持统计全院及各科室PE、DVT、PE合并DVT患者发生数量、发病率及相关患者首页信息（检出率及院内发生率分开统计）</w:t>
            </w:r>
          </w:p>
          <w:p>
            <w:pPr>
              <w:pStyle w:val="null3"/>
            </w:pPr>
            <w:r>
              <w:rPr>
                <w:rFonts w:ascii="仿宋_GB2312" w:hAnsi="仿宋_GB2312" w:cs="仿宋_GB2312" w:eastAsia="仿宋_GB2312"/>
                <w:sz w:val="21"/>
              </w:rPr>
              <w:t>2.5支持查询全院及各科室院内获得性VTE住院患者明细，包含患者首页信息、主管医师、动态评分情况、出血风险评分、预防医嘱、治疗医嘱、检查情况等基本信息。（此项需提供现场演示）</w:t>
            </w:r>
          </w:p>
          <w:p>
            <w:pPr>
              <w:pStyle w:val="null3"/>
            </w:pPr>
            <w:r>
              <w:rPr>
                <w:rFonts w:ascii="仿宋_GB2312" w:hAnsi="仿宋_GB2312" w:cs="仿宋_GB2312" w:eastAsia="仿宋_GB2312"/>
                <w:sz w:val="21"/>
              </w:rPr>
              <w:t>2.6支持查询全院及各科室院内发生VTE死亡患者明细，包含患者首页信息、主管医师、动态评分情况、出血风险评分、预防医嘱、治疗医嘱、检查情况等基本信息。</w:t>
            </w:r>
          </w:p>
          <w:p>
            <w:pPr>
              <w:pStyle w:val="null3"/>
            </w:pPr>
            <w:r>
              <w:rPr>
                <w:rFonts w:ascii="仿宋_GB2312" w:hAnsi="仿宋_GB2312" w:cs="仿宋_GB2312" w:eastAsia="仿宋_GB2312"/>
                <w:sz w:val="21"/>
              </w:rPr>
              <w:t>2.7支持查询全院及各科室预防后仍发生DVT.PE.DVT合并PE的住院患者明细，包含患者首页信息、主管医师、动态评分情况、出血风险评分、预防医嘱、治疗医嘱、检查情况等基本信息。</w:t>
            </w:r>
          </w:p>
          <w:p>
            <w:pPr>
              <w:pStyle w:val="null3"/>
            </w:pPr>
            <w:r>
              <w:rPr>
                <w:rFonts w:ascii="仿宋_GB2312" w:hAnsi="仿宋_GB2312" w:cs="仿宋_GB2312" w:eastAsia="仿宋_GB2312"/>
                <w:sz w:val="21"/>
              </w:rPr>
              <w:t>2.8 能够按照科室、出院日期、患者VTE评估分层情况随机抽取中、高危患者住院号及相关检查检验(下肢静脉超声、CTPA、D-二聚体检查)、预防医嘱，定期进行专家点评。</w:t>
            </w:r>
          </w:p>
          <w:p>
            <w:pPr>
              <w:pStyle w:val="null3"/>
            </w:pPr>
            <w:r>
              <w:rPr>
                <w:rFonts w:ascii="仿宋_GB2312" w:hAnsi="仿宋_GB2312" w:cs="仿宋_GB2312" w:eastAsia="仿宋_GB2312"/>
                <w:sz w:val="21"/>
              </w:rPr>
              <w:t>▲2.9.能够按照科室、出院日期、患者评估分层情况随机抽取确诊患者住院号及相关检查检验(下肢静脉超声、CTPA、D-二聚体检查)、治疗医嘱（溶栓药物、抗凝药物、滤器植入）等。</w:t>
            </w:r>
          </w:p>
          <w:p>
            <w:pPr>
              <w:pStyle w:val="null3"/>
            </w:pPr>
            <w:r>
              <w:rPr>
                <w:rFonts w:ascii="仿宋_GB2312" w:hAnsi="仿宋_GB2312" w:cs="仿宋_GB2312" w:eastAsia="仿宋_GB2312"/>
                <w:sz w:val="21"/>
              </w:rPr>
              <w:t>2.10支持统计每个科室不同评估表评估例数及评估率（内科评估表、外科评估表、疑似患者评估表、急性疑似患者评估表）。</w:t>
            </w:r>
          </w:p>
          <w:p>
            <w:pPr>
              <w:pStyle w:val="null3"/>
            </w:pPr>
            <w:r>
              <w:rPr>
                <w:rFonts w:ascii="仿宋_GB2312" w:hAnsi="仿宋_GB2312" w:cs="仿宋_GB2312" w:eastAsia="仿宋_GB2312"/>
                <w:sz w:val="21"/>
              </w:rPr>
              <w:t>2.11支持按照科室、限定时间段生成全院及各科室评评估例数及评估率、预防例数及预防率（PE、DVT、PE合并DVT患者药物和机械）、转归情况一览表</w:t>
            </w:r>
          </w:p>
          <w:p>
            <w:pPr>
              <w:pStyle w:val="null3"/>
            </w:pPr>
            <w:r>
              <w:rPr>
                <w:rFonts w:ascii="仿宋_GB2312" w:hAnsi="仿宋_GB2312" w:cs="仿宋_GB2312" w:eastAsia="仿宋_GB2312"/>
                <w:sz w:val="21"/>
              </w:rPr>
              <w:t>▲2.12支持生成查询国家上报数据统计表格，包含任意时间段出院患者数、出院患者例数、确诊静脉血栓栓塞症例数、出院患者初始VTE风险评估例数、接受VTE风险评估的住院患者例数。VTE风险为中/高危的患者例数、接受出血风险评估的住院患者例数、出血风险为高危的患者例数、预防措施实施例数、药物预防实施例数、机械预防实施例数、住院手术人次数、手术患者住院期间新发DVT例数、新发PE例数、新发DVT合并PE例数、新发DVT例数、新发PE例数、新发DVT合并PE例数、诊断为医院相关性VTE住院患者例数、肺栓塞住院患者死亡例数、VTE住院患者死亡例数。</w:t>
            </w:r>
          </w:p>
          <w:p>
            <w:pPr>
              <w:pStyle w:val="null3"/>
            </w:pPr>
            <w:r>
              <w:rPr>
                <w:rFonts w:ascii="仿宋_GB2312" w:hAnsi="仿宋_GB2312" w:cs="仿宋_GB2312" w:eastAsia="仿宋_GB2312"/>
                <w:sz w:val="21"/>
              </w:rPr>
              <w:t>2.13可查看限定时间段的不良事件患者预防及治疗详细信息。</w:t>
            </w:r>
          </w:p>
          <w:p>
            <w:pPr>
              <w:pStyle w:val="null3"/>
            </w:pPr>
            <w:r>
              <w:rPr>
                <w:rFonts w:ascii="仿宋_GB2312" w:hAnsi="仿宋_GB2312" w:cs="仿宋_GB2312" w:eastAsia="仿宋_GB2312"/>
                <w:sz w:val="21"/>
              </w:rPr>
              <w:t>2.14抗凝治疗及溶栓治疗统计。</w:t>
            </w:r>
          </w:p>
          <w:p>
            <w:pPr>
              <w:pStyle w:val="null3"/>
            </w:pPr>
            <w:r>
              <w:rPr>
                <w:rFonts w:ascii="仿宋_GB2312" w:hAnsi="仿宋_GB2312" w:cs="仿宋_GB2312" w:eastAsia="仿宋_GB2312"/>
                <w:sz w:val="21"/>
              </w:rPr>
              <w:t>3、专科指标监控（此所有项需提供现场演示）</w:t>
            </w:r>
          </w:p>
          <w:p>
            <w:pPr>
              <w:pStyle w:val="null3"/>
            </w:pPr>
            <w:r>
              <w:rPr>
                <w:rFonts w:ascii="仿宋_GB2312" w:hAnsi="仿宋_GB2312" w:cs="仿宋_GB2312" w:eastAsia="仿宋_GB2312"/>
                <w:sz w:val="21"/>
              </w:rPr>
              <w:t>3.ICU专科（备注：统计排除：1，13岁以下患者；2，入出院时间小于等于24小时患者；3，正接受抗凝治疗的患者）</w:t>
            </w:r>
          </w:p>
          <w:p>
            <w:pPr>
              <w:pStyle w:val="null3"/>
            </w:pPr>
            <w:r>
              <w:rPr>
                <w:rFonts w:ascii="仿宋_GB2312" w:hAnsi="仿宋_GB2312" w:cs="仿宋_GB2312" w:eastAsia="仿宋_GB2312"/>
                <w:sz w:val="21"/>
              </w:rPr>
              <w:t>3.2支持数据统计：入ICU患者VTE风险评估率、入ICU患者24小时内VTE风险评估率、入ICU患者VTE风险中高危比率、入ICU患者出血风险评估率、入ICU患者出血风险高危比率、入ICU患者药物预防率、入ICU患者机械预防率、入ICU患者联合预防率。</w:t>
            </w:r>
          </w:p>
          <w:p>
            <w:pPr>
              <w:pStyle w:val="null3"/>
            </w:pPr>
            <w:r>
              <w:rPr>
                <w:rFonts w:ascii="仿宋_GB2312" w:hAnsi="仿宋_GB2312" w:cs="仿宋_GB2312" w:eastAsia="仿宋_GB2312"/>
                <w:sz w:val="21"/>
              </w:rPr>
              <w:t>3.3支持多种数据维度统计：年度、季度、月度、同期、全院、科室、病区、医疗组等。</w:t>
            </w:r>
          </w:p>
          <w:p>
            <w:pPr>
              <w:pStyle w:val="null3"/>
            </w:pPr>
            <w:r>
              <w:rPr>
                <w:rFonts w:ascii="仿宋_GB2312" w:hAnsi="仿宋_GB2312" w:cs="仿宋_GB2312" w:eastAsia="仿宋_GB2312"/>
                <w:sz w:val="21"/>
              </w:rPr>
              <w:t>3.4支持按院区、科室、病区、医疗组、出院时间进行数据筛选。</w:t>
            </w:r>
          </w:p>
          <w:p>
            <w:pPr>
              <w:pStyle w:val="null3"/>
            </w:pPr>
            <w:r>
              <w:rPr>
                <w:rFonts w:ascii="仿宋_GB2312" w:hAnsi="仿宋_GB2312" w:cs="仿宋_GB2312" w:eastAsia="仿宋_GB2312"/>
                <w:sz w:val="21"/>
              </w:rPr>
              <w:t>3.5支持含日间和不含日间数据筛选。</w:t>
            </w:r>
          </w:p>
          <w:p>
            <w:pPr>
              <w:pStyle w:val="null3"/>
            </w:pPr>
            <w:r>
              <w:rPr>
                <w:rFonts w:ascii="仿宋_GB2312" w:hAnsi="仿宋_GB2312" w:cs="仿宋_GB2312" w:eastAsia="仿宋_GB2312"/>
                <w:sz w:val="21"/>
              </w:rPr>
              <w:t>3.6支持柱状图和统计数据列表展示，柱状图数据支持切换为统计比率或者具体数据，统计数据和柱状图支持下载导出，页面展示统计比率计算公式。</w:t>
            </w:r>
          </w:p>
          <w:p>
            <w:pPr>
              <w:pStyle w:val="null3"/>
            </w:pPr>
            <w:r>
              <w:rPr>
                <w:rFonts w:ascii="仿宋_GB2312" w:hAnsi="仿宋_GB2312" w:cs="仿宋_GB2312" w:eastAsia="仿宋_GB2312"/>
                <w:sz w:val="21"/>
              </w:rPr>
              <w:t>3.7支持查看原始数据、以及导出。</w:t>
            </w:r>
          </w:p>
          <w:p>
            <w:pPr>
              <w:pStyle w:val="null3"/>
            </w:pPr>
            <w:r>
              <w:rPr>
                <w:rFonts w:ascii="仿宋_GB2312" w:hAnsi="仿宋_GB2312" w:cs="仿宋_GB2312" w:eastAsia="仿宋_GB2312"/>
                <w:sz w:val="21"/>
              </w:rPr>
              <w:t>4、根因分析（此所有项需提供现场演示）</w:t>
            </w:r>
          </w:p>
          <w:p>
            <w:pPr>
              <w:pStyle w:val="null3"/>
            </w:pPr>
            <w:r>
              <w:rPr>
                <w:rFonts w:ascii="仿宋_GB2312" w:hAnsi="仿宋_GB2312" w:cs="仿宋_GB2312" w:eastAsia="仿宋_GB2312"/>
                <w:sz w:val="21"/>
              </w:rPr>
              <w:t>4.1风险因素分布</w:t>
            </w:r>
          </w:p>
          <w:p>
            <w:pPr>
              <w:pStyle w:val="null3"/>
            </w:pPr>
            <w:r>
              <w:rPr>
                <w:rFonts w:ascii="仿宋_GB2312" w:hAnsi="仿宋_GB2312" w:cs="仿宋_GB2312" w:eastAsia="仿宋_GB2312"/>
                <w:sz w:val="21"/>
              </w:rPr>
              <w:t>支持数据统计：Caprini评分分析、Padua评分分析、产前评分分析、产后评分分析、肿瘤评分分析、出血风险评估、Caprini出血风险评估、Padua出血风险评估、产前出血风险评估、产后出血风险评估、肿瘤出血风险评估、机械预防禁忌、Wells评分分析。</w:t>
            </w:r>
          </w:p>
          <w:p>
            <w:pPr>
              <w:pStyle w:val="null3"/>
            </w:pPr>
            <w:r>
              <w:rPr>
                <w:rFonts w:ascii="仿宋_GB2312" w:hAnsi="仿宋_GB2312" w:cs="仿宋_GB2312" w:eastAsia="仿宋_GB2312"/>
                <w:sz w:val="21"/>
              </w:rPr>
              <w:t>4.2支持按院区、科室、病区、出院时间进行数据筛选。</w:t>
            </w:r>
          </w:p>
          <w:p>
            <w:pPr>
              <w:pStyle w:val="null3"/>
            </w:pPr>
            <w:r>
              <w:rPr>
                <w:rFonts w:ascii="仿宋_GB2312" w:hAnsi="仿宋_GB2312" w:cs="仿宋_GB2312" w:eastAsia="仿宋_GB2312"/>
                <w:sz w:val="21"/>
              </w:rPr>
              <w:t>4.3支持柱状图、饼状图和统计数据列表展示各风险因素的命中情况，统计数据可下载导出。</w:t>
            </w:r>
          </w:p>
          <w:p>
            <w:pPr>
              <w:pStyle w:val="null3"/>
            </w:pPr>
            <w:r>
              <w:rPr>
                <w:rFonts w:ascii="仿宋_GB2312" w:hAnsi="仿宋_GB2312" w:cs="仿宋_GB2312" w:eastAsia="仿宋_GB2312"/>
                <w:sz w:val="21"/>
              </w:rPr>
              <w:t>5、患者管理随访</w:t>
            </w:r>
          </w:p>
          <w:p>
            <w:pPr>
              <w:pStyle w:val="null3"/>
            </w:pPr>
            <w:r>
              <w:rPr>
                <w:rFonts w:ascii="仿宋_GB2312" w:hAnsi="仿宋_GB2312" w:cs="仿宋_GB2312" w:eastAsia="仿宋_GB2312"/>
                <w:sz w:val="21"/>
              </w:rPr>
              <w:t>5.1根据“全国肺栓塞和深静脉血栓形成防治能力建设办公室”于2019年发行的《全国肺栓塞和深静脉⾎栓形成防治能⼒建设项目⼯作⼿册》所推荐的随访问卷要求进行配置。</w:t>
            </w:r>
          </w:p>
          <w:p>
            <w:pPr>
              <w:pStyle w:val="null3"/>
            </w:pPr>
            <w:r>
              <w:rPr>
                <w:rFonts w:ascii="仿宋_GB2312" w:hAnsi="仿宋_GB2312" w:cs="仿宋_GB2312" w:eastAsia="仿宋_GB2312"/>
                <w:sz w:val="21"/>
              </w:rPr>
              <w:t>5.2根据《全国肺栓塞和深静脉⾎栓形成防治能⼒建设项目⼯作⼿册》要求支持高危患者、确诊患者的随访。同时支持对科室、病区、出院时间、随访任务维度进行筛选。</w:t>
            </w:r>
          </w:p>
          <w:p>
            <w:pPr>
              <w:pStyle w:val="null3"/>
            </w:pPr>
            <w:r>
              <w:rPr>
                <w:rFonts w:ascii="仿宋_GB2312" w:hAnsi="仿宋_GB2312" w:cs="仿宋_GB2312" w:eastAsia="仿宋_GB2312"/>
                <w:sz w:val="21"/>
              </w:rPr>
              <w:t>▲5.3  VTE系统自动根据患者的VTE状态（VTE高风险以及VTE确诊）、出院时间生成随访任务。系统支持自定义随访周期（如出院后30天、60天、90天多次随访），推荐出院后90天进行随访（“全国肺栓塞和深静脉血栓形成防治能力建设办公室”建议要求追踪至出院后90天）。系统同时支持自定义随访有效期，比如出院后90天生成随访任务，医护人员需要在7天内（可自定义）完成随访。当有效期不足3天时，系统将对医护人员进行提醒。</w:t>
            </w:r>
          </w:p>
          <w:p>
            <w:pPr>
              <w:pStyle w:val="null3"/>
            </w:pPr>
            <w:r>
              <w:rPr>
                <w:rFonts w:ascii="仿宋_GB2312" w:hAnsi="仿宋_GB2312" w:cs="仿宋_GB2312" w:eastAsia="仿宋_GB2312"/>
                <w:sz w:val="21"/>
              </w:rPr>
              <w:t>5.4在随访开始页面，提供患者基础信息、最近一次出院小结、历史检验结果、历史住院记录及随访记录、此次随访信息等。开始随访后，医护人员跟据提示完成随访表单。</w:t>
            </w:r>
          </w:p>
          <w:p>
            <w:pPr>
              <w:pStyle w:val="null3"/>
            </w:pPr>
            <w:r>
              <w:rPr>
                <w:rFonts w:ascii="仿宋_GB2312" w:hAnsi="仿宋_GB2312" w:cs="仿宋_GB2312" w:eastAsia="仿宋_GB2312"/>
                <w:sz w:val="21"/>
              </w:rPr>
              <w:t>5.5所有随访记录均可查看，可以根据患者个人信息、住院所在科室、住院所在病区、被随访时间进行筛选查找。同时随访记录详情表单支持打印。</w:t>
            </w:r>
          </w:p>
          <w:p>
            <w:pPr>
              <w:pStyle w:val="null3"/>
            </w:pPr>
            <w:r>
              <w:rPr>
                <w:rFonts w:ascii="仿宋_GB2312" w:hAnsi="仿宋_GB2312" w:cs="仿宋_GB2312" w:eastAsia="仿宋_GB2312"/>
                <w:sz w:val="21"/>
              </w:rPr>
              <w:t>5.6为了尽可能避免极少医护人员不负责的随访，系统支持随访有效计时功能，当单次随访的时间达不到要求时无法完成该次随访。默认计时功能为关闭状态。</w:t>
            </w:r>
          </w:p>
          <w:p>
            <w:pPr>
              <w:pStyle w:val="null3"/>
            </w:pPr>
            <w:r>
              <w:rPr>
                <w:rFonts w:ascii="仿宋_GB2312" w:hAnsi="仿宋_GB2312" w:cs="仿宋_GB2312" w:eastAsia="仿宋_GB2312"/>
                <w:sz w:val="21"/>
              </w:rPr>
              <w:t>六)患者数据库</w:t>
            </w:r>
          </w:p>
          <w:p>
            <w:pPr>
              <w:pStyle w:val="null3"/>
            </w:pPr>
            <w:r>
              <w:rPr>
                <w:rFonts w:ascii="仿宋_GB2312" w:hAnsi="仿宋_GB2312" w:cs="仿宋_GB2312" w:eastAsia="仿宋_GB2312"/>
                <w:sz w:val="21"/>
              </w:rPr>
              <w:t>1、患者列表（此所有项需提供现场演示）</w:t>
            </w:r>
          </w:p>
          <w:p>
            <w:pPr>
              <w:pStyle w:val="null3"/>
            </w:pPr>
            <w:r>
              <w:rPr>
                <w:rFonts w:ascii="仿宋_GB2312" w:hAnsi="仿宋_GB2312" w:cs="仿宋_GB2312" w:eastAsia="仿宋_GB2312"/>
                <w:sz w:val="21"/>
              </w:rPr>
              <w:t>支持查看所有在院、出院患者列表。</w:t>
            </w:r>
          </w:p>
          <w:p>
            <w:pPr>
              <w:pStyle w:val="null3"/>
            </w:pPr>
            <w:r>
              <w:rPr>
                <w:rFonts w:ascii="仿宋_GB2312" w:hAnsi="仿宋_GB2312" w:cs="仿宋_GB2312" w:eastAsia="仿宋_GB2312"/>
                <w:sz w:val="21"/>
              </w:rPr>
              <w:t>支持按科室、病区、医疗组、入院时间、患者信息（姓名、住院号）进行数据筛选。</w:t>
            </w:r>
          </w:p>
          <w:p>
            <w:pPr>
              <w:pStyle w:val="null3"/>
            </w:pPr>
            <w:r>
              <w:rPr>
                <w:rFonts w:ascii="仿宋_GB2312" w:hAnsi="仿宋_GB2312" w:cs="仿宋_GB2312" w:eastAsia="仿宋_GB2312"/>
                <w:sz w:val="21"/>
              </w:rPr>
              <w:t>支持出院患者按照VTE确诊状态进行查询，包含以下状态：全部患者、未确诊、全部确诊、入院确诊、在院确诊。</w:t>
            </w:r>
          </w:p>
          <w:p>
            <w:pPr>
              <w:pStyle w:val="null3"/>
            </w:pPr>
            <w:r>
              <w:rPr>
                <w:rFonts w:ascii="仿宋_GB2312" w:hAnsi="仿宋_GB2312" w:cs="仿宋_GB2312" w:eastAsia="仿宋_GB2312"/>
                <w:sz w:val="21"/>
              </w:rPr>
              <w:t>支持查看患者详情。</w:t>
            </w:r>
          </w:p>
          <w:p>
            <w:pPr>
              <w:pStyle w:val="null3"/>
            </w:pPr>
            <w:r>
              <w:rPr>
                <w:rFonts w:ascii="仿宋_GB2312" w:hAnsi="仿宋_GB2312" w:cs="仿宋_GB2312" w:eastAsia="仿宋_GB2312"/>
                <w:sz w:val="21"/>
              </w:rPr>
              <w:t>2、患者详情（此所有项需提供现场演示）</w:t>
            </w:r>
          </w:p>
          <w:p>
            <w:pPr>
              <w:pStyle w:val="null3"/>
            </w:pPr>
            <w:r>
              <w:rPr>
                <w:rFonts w:ascii="仿宋_GB2312" w:hAnsi="仿宋_GB2312" w:cs="仿宋_GB2312" w:eastAsia="仿宋_GB2312"/>
                <w:sz w:val="21"/>
              </w:rPr>
              <w:t>支持以全息图（多维曲线）的形式展示患者VTE防治过程，其中包含数据曲线：住院进程、VTE风险评估、出血风险评估、机械预防禁忌、基础预防、药物预防、机械预防、超声检查、D-二聚体、静脉超声、肺动脉造影、介入、手术。支持显示或者关闭具体某个数据曲线。</w:t>
            </w:r>
          </w:p>
          <w:p>
            <w:pPr>
              <w:pStyle w:val="null3"/>
            </w:pPr>
            <w:r>
              <w:rPr>
                <w:rFonts w:ascii="仿宋_GB2312" w:hAnsi="仿宋_GB2312" w:cs="仿宋_GB2312" w:eastAsia="仿宋_GB2312"/>
                <w:sz w:val="21"/>
              </w:rPr>
              <w:t>支持拖动底部操作条，拉伸或缩短时间轴。</w:t>
            </w:r>
          </w:p>
          <w:p>
            <w:pPr>
              <w:pStyle w:val="null3"/>
            </w:pPr>
            <w:r>
              <w:rPr>
                <w:rFonts w:ascii="仿宋_GB2312" w:hAnsi="仿宋_GB2312" w:cs="仿宋_GB2312" w:eastAsia="仿宋_GB2312"/>
                <w:sz w:val="21"/>
              </w:rPr>
              <w:t>支持以时间轴展示的形式展示患者VTE防治过程，其中包含数据曲线：住院进程、VTE风险评估、出血风险评估、机械预防禁忌、基础预防、药物预防、机械预防、超声检查、D-二聚体、静脉超声、肺动脉造影、介入、手术。支持切换时间轴样式展示患者VTE防治过程。</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rPr>
              <w:t>七)医疗时间报告</w:t>
            </w:r>
          </w:p>
          <w:p>
            <w:pPr>
              <w:pStyle w:val="null3"/>
            </w:pPr>
            <w:r>
              <w:rPr>
                <w:rFonts w:ascii="仿宋_GB2312" w:hAnsi="仿宋_GB2312" w:cs="仿宋_GB2312" w:eastAsia="仿宋_GB2312"/>
                <w:sz w:val="21"/>
              </w:rPr>
              <w:t>1、VTE不良事件（此所有项需提供现场演示）</w:t>
            </w:r>
          </w:p>
          <w:p>
            <w:pPr>
              <w:pStyle w:val="null3"/>
            </w:pPr>
            <w:r>
              <w:rPr>
                <w:rFonts w:ascii="仿宋_GB2312" w:hAnsi="仿宋_GB2312" w:cs="仿宋_GB2312" w:eastAsia="仿宋_GB2312"/>
                <w:sz w:val="21"/>
              </w:rPr>
              <w:t>专为院内信息系统无法提供2022指标中抗凝/溶栓出血、VTE主因死亡的医院设计，同时支持【综合医院】填报指标中VTE预防治疗相关异常事件的统计。</w:t>
            </w:r>
          </w:p>
          <w:p>
            <w:pPr>
              <w:pStyle w:val="null3"/>
            </w:pPr>
            <w:r>
              <w:rPr>
                <w:rFonts w:ascii="仿宋_GB2312" w:hAnsi="仿宋_GB2312" w:cs="仿宋_GB2312" w:eastAsia="仿宋_GB2312"/>
                <w:sz w:val="21"/>
              </w:rPr>
              <w:t>支持上报事件：A.大出血、B.临床相关非大出血、C.小出血是指、D.过敏反应、E.肝功能异常、F.肾功能异常、G.血红蛋白异常、H.血小板异常、I.肢体变化。</w:t>
            </w:r>
          </w:p>
          <w:p>
            <w:pPr>
              <w:pStyle w:val="null3"/>
            </w:pPr>
            <w:r>
              <w:rPr>
                <w:rFonts w:ascii="仿宋_GB2312" w:hAnsi="仿宋_GB2312" w:cs="仿宋_GB2312" w:eastAsia="仿宋_GB2312"/>
                <w:sz w:val="21"/>
              </w:rPr>
              <w:t>支持上报事件原因：A.药物抗凝、B.药物溶栓、C.气压泵预防、D.弹力袜预防、E.介入取栓、F.手术取栓。</w:t>
            </w:r>
          </w:p>
          <w:p>
            <w:pPr>
              <w:pStyle w:val="null3"/>
            </w:pPr>
            <w:r>
              <w:rPr>
                <w:rFonts w:ascii="仿宋_GB2312" w:hAnsi="仿宋_GB2312" w:cs="仿宋_GB2312" w:eastAsia="仿宋_GB2312"/>
                <w:sz w:val="21"/>
              </w:rPr>
              <w:t>支持上报事件发生时间。</w:t>
            </w:r>
          </w:p>
          <w:p>
            <w:pPr>
              <w:pStyle w:val="null3"/>
            </w:pPr>
            <w:r>
              <w:rPr>
                <w:rFonts w:ascii="仿宋_GB2312" w:hAnsi="仿宋_GB2312" w:cs="仿宋_GB2312" w:eastAsia="仿宋_GB2312"/>
                <w:sz w:val="21"/>
              </w:rPr>
              <w:t>支持全部、抗凝出血、溶栓出血筛选。</w:t>
            </w:r>
          </w:p>
          <w:p>
            <w:pPr>
              <w:pStyle w:val="null3"/>
            </w:pPr>
            <w:r>
              <w:rPr>
                <w:rFonts w:ascii="仿宋_GB2312" w:hAnsi="仿宋_GB2312" w:cs="仿宋_GB2312" w:eastAsia="仿宋_GB2312"/>
                <w:sz w:val="21"/>
              </w:rPr>
              <w:t>支持按姓名、住院号、床号查找患者。</w:t>
            </w:r>
          </w:p>
          <w:p>
            <w:pPr>
              <w:pStyle w:val="null3"/>
            </w:pPr>
            <w:r>
              <w:rPr>
                <w:rFonts w:ascii="仿宋_GB2312" w:hAnsi="仿宋_GB2312" w:cs="仿宋_GB2312" w:eastAsia="仿宋_GB2312"/>
                <w:sz w:val="21"/>
              </w:rPr>
              <w:t>2、VTE死亡事件（此所有项需提供现场演示）</w:t>
            </w:r>
          </w:p>
          <w:p>
            <w:pPr>
              <w:pStyle w:val="null3"/>
            </w:pPr>
            <w:r>
              <w:rPr>
                <w:rFonts w:ascii="仿宋_GB2312" w:hAnsi="仿宋_GB2312" w:cs="仿宋_GB2312" w:eastAsia="仿宋_GB2312"/>
                <w:sz w:val="21"/>
              </w:rPr>
              <w:t>支持上报VTE主因死亡事件：A.DVT主因死亡、B.PTE（或PE）主因死亡。（注意：VTE相关死亡患者，系统通过病案首页抓取）</w:t>
            </w:r>
          </w:p>
          <w:p>
            <w:pPr>
              <w:pStyle w:val="null3"/>
            </w:pPr>
            <w:r>
              <w:rPr>
                <w:rFonts w:ascii="仿宋_GB2312" w:hAnsi="仿宋_GB2312" w:cs="仿宋_GB2312" w:eastAsia="仿宋_GB2312"/>
                <w:sz w:val="21"/>
              </w:rPr>
              <w:t>支持上报事件发生时间。</w:t>
            </w:r>
          </w:p>
          <w:p>
            <w:pPr>
              <w:pStyle w:val="null3"/>
            </w:pPr>
            <w:r>
              <w:rPr>
                <w:rFonts w:ascii="仿宋_GB2312" w:hAnsi="仿宋_GB2312" w:cs="仿宋_GB2312" w:eastAsia="仿宋_GB2312"/>
                <w:sz w:val="21"/>
              </w:rPr>
              <w:t>支持全部、DVT主因死亡、PTE(或PE)主因死亡筛选。</w:t>
            </w:r>
          </w:p>
          <w:p>
            <w:pPr>
              <w:pStyle w:val="null3"/>
            </w:pPr>
            <w:r>
              <w:rPr>
                <w:rFonts w:ascii="仿宋_GB2312" w:hAnsi="仿宋_GB2312" w:cs="仿宋_GB2312" w:eastAsia="仿宋_GB2312"/>
                <w:sz w:val="21"/>
              </w:rPr>
              <w:t>支持按姓名、住院号、床号查找患者。</w:t>
            </w:r>
          </w:p>
          <w:p>
            <w:pPr>
              <w:pStyle w:val="null3"/>
            </w:pPr>
            <w:r>
              <w:rPr>
                <w:rFonts w:ascii="仿宋_GB2312" w:hAnsi="仿宋_GB2312" w:cs="仿宋_GB2312" w:eastAsia="仿宋_GB2312"/>
                <w:sz w:val="21"/>
              </w:rPr>
              <w:t>八）定制化开发</w:t>
            </w:r>
          </w:p>
          <w:p>
            <w:pPr>
              <w:pStyle w:val="null3"/>
            </w:pPr>
            <w:r>
              <w:rPr>
                <w:rFonts w:ascii="仿宋_GB2312" w:hAnsi="仿宋_GB2312" w:cs="仿宋_GB2312" w:eastAsia="仿宋_GB2312"/>
                <w:sz w:val="21"/>
              </w:rPr>
              <w:t>1、二次开发：负责与医院现有和拟新建信息系统接口对接，实现院内信息的互联互通。对接系统包括但不限于HIS、EMR、短信平台、数据中心、集成平台等系统完成对接，满足二次开发要求。</w:t>
            </w:r>
          </w:p>
          <w:p>
            <w:pPr>
              <w:pStyle w:val="null3"/>
            </w:pPr>
            <w:r>
              <w:rPr>
                <w:rFonts w:ascii="仿宋_GB2312" w:hAnsi="仿宋_GB2312" w:cs="仿宋_GB2312" w:eastAsia="仿宋_GB2312"/>
              </w:rPr>
              <w:t xml:space="preserve"> </w:t>
            </w:r>
          </w:p>
          <w:p>
            <w:pPr>
              <w:pStyle w:val="null3"/>
              <w:outlineLvl w:val="1"/>
            </w:pPr>
            <w:r>
              <w:rPr>
                <w:rFonts w:ascii="仿宋_GB2312" w:hAnsi="仿宋_GB2312" w:cs="仿宋_GB2312" w:eastAsia="仿宋_GB2312"/>
                <w:sz w:val="21"/>
                <w:b/>
              </w:rPr>
              <w:t>四、商务要求</w:t>
            </w:r>
          </w:p>
          <w:p>
            <w:pPr>
              <w:pStyle w:val="null3"/>
              <w:outlineLvl w:val="1"/>
            </w:pPr>
            <w:r>
              <w:rPr>
                <w:rFonts w:ascii="仿宋_GB2312" w:hAnsi="仿宋_GB2312" w:cs="仿宋_GB2312" w:eastAsia="仿宋_GB2312"/>
                <w:sz w:val="21"/>
                <w:b/>
              </w:rPr>
              <w:t>1、总体要求</w:t>
            </w:r>
          </w:p>
          <w:p>
            <w:pPr>
              <w:pStyle w:val="null3"/>
            </w:pPr>
            <w:r>
              <w:rPr>
                <w:rFonts w:ascii="仿宋_GB2312" w:hAnsi="仿宋_GB2312" w:cs="仿宋_GB2312" w:eastAsia="仿宋_GB2312"/>
                <w:sz w:val="21"/>
              </w:rPr>
              <w:t>系统供应商应本着认真负责态度，组织技术队伍，认真做好项目的实施工作。在签订合同前，提出具体实施、服务、维护以及今后技术支持的措施计划。</w:t>
            </w:r>
          </w:p>
          <w:p>
            <w:pPr>
              <w:pStyle w:val="null3"/>
              <w:outlineLvl w:val="1"/>
            </w:pPr>
            <w:r>
              <w:rPr>
                <w:rFonts w:ascii="仿宋_GB2312" w:hAnsi="仿宋_GB2312" w:cs="仿宋_GB2312" w:eastAsia="仿宋_GB2312"/>
                <w:sz w:val="21"/>
                <w:b/>
              </w:rPr>
              <w:t>2、项目实施要求</w:t>
            </w:r>
          </w:p>
          <w:p>
            <w:pPr>
              <w:pStyle w:val="null3"/>
            </w:pPr>
            <w:r>
              <w:rPr>
                <w:rFonts w:ascii="仿宋_GB2312" w:hAnsi="仿宋_GB2312" w:cs="仿宋_GB2312" w:eastAsia="仿宋_GB2312"/>
                <w:sz w:val="21"/>
              </w:rPr>
              <w:t>在系统实施过程中，应遵循国家标准、行业标准，须做到：</w:t>
            </w:r>
          </w:p>
          <w:p>
            <w:pPr>
              <w:pStyle w:val="null3"/>
            </w:pPr>
            <w:r>
              <w:rPr>
                <w:rFonts w:ascii="仿宋_GB2312" w:hAnsi="仿宋_GB2312" w:cs="仿宋_GB2312" w:eastAsia="仿宋_GB2312"/>
                <w:sz w:val="21"/>
              </w:rPr>
              <w:t>2.1提供完整的系统实施方案和软件实施管理办法，含本地化修改、测试、试运行、培训及上线计划等。</w:t>
            </w:r>
          </w:p>
          <w:p>
            <w:pPr>
              <w:pStyle w:val="null3"/>
            </w:pPr>
            <w:r>
              <w:rPr>
                <w:rFonts w:ascii="仿宋_GB2312" w:hAnsi="仿宋_GB2312" w:cs="仿宋_GB2312" w:eastAsia="仿宋_GB2312"/>
                <w:sz w:val="21"/>
              </w:rPr>
              <w:t>2.2针对采购方需求建立专门的项目团队，提供项目组人员组成、项目负责人资质及简历、项目主要技术人员资质及相关分工，项目组人员未经采购方同意，不得随意更换。</w:t>
            </w:r>
          </w:p>
          <w:p>
            <w:pPr>
              <w:pStyle w:val="null3"/>
            </w:pPr>
            <w:r>
              <w:rPr>
                <w:rFonts w:ascii="仿宋_GB2312" w:hAnsi="仿宋_GB2312" w:cs="仿宋_GB2312" w:eastAsia="仿宋_GB2312"/>
                <w:sz w:val="21"/>
              </w:rPr>
              <w:t>2.3在项目工期规定时间内按要求完成系统的设计、研发、安装实施、测试、调试、验收等工作。</w:t>
            </w:r>
          </w:p>
          <w:p>
            <w:pPr>
              <w:pStyle w:val="null3"/>
            </w:pPr>
            <w:r>
              <w:rPr>
                <w:rFonts w:ascii="仿宋_GB2312" w:hAnsi="仿宋_GB2312" w:cs="仿宋_GB2312" w:eastAsia="仿宋_GB2312"/>
                <w:sz w:val="21"/>
              </w:rPr>
              <w:t>2.4提供充足的技术实施人员以确保项目在工期要求内顺利完成。</w:t>
            </w:r>
          </w:p>
          <w:p>
            <w:pPr>
              <w:pStyle w:val="null3"/>
            </w:pPr>
            <w:r>
              <w:rPr>
                <w:rFonts w:ascii="仿宋_GB2312" w:hAnsi="仿宋_GB2312" w:cs="仿宋_GB2312" w:eastAsia="仿宋_GB2312"/>
                <w:sz w:val="21"/>
              </w:rPr>
              <w:t>2.5项目实施过程中须提供项目周报，及时反映项目进展及问题。</w:t>
            </w:r>
          </w:p>
          <w:p>
            <w:pPr>
              <w:pStyle w:val="null3"/>
            </w:pPr>
            <w:r>
              <w:rPr>
                <w:rFonts w:ascii="仿宋_GB2312" w:hAnsi="仿宋_GB2312" w:cs="仿宋_GB2312" w:eastAsia="仿宋_GB2312"/>
                <w:sz w:val="21"/>
              </w:rPr>
              <w:t>2.6提供详细的软件实施方案和计划进度说明书。</w:t>
            </w:r>
          </w:p>
          <w:p>
            <w:pPr>
              <w:pStyle w:val="null3"/>
            </w:pPr>
            <w:r>
              <w:rPr>
                <w:rFonts w:ascii="仿宋_GB2312" w:hAnsi="仿宋_GB2312" w:cs="仿宋_GB2312" w:eastAsia="仿宋_GB2312"/>
                <w:sz w:val="21"/>
              </w:rPr>
              <w:t>2.7提供详细、全面的人员培训计划和实施方案。</w:t>
            </w:r>
          </w:p>
          <w:p>
            <w:pPr>
              <w:pStyle w:val="null3"/>
            </w:pPr>
            <w:r>
              <w:rPr>
                <w:rFonts w:ascii="仿宋_GB2312" w:hAnsi="仿宋_GB2312" w:cs="仿宋_GB2312" w:eastAsia="仿宋_GB2312"/>
                <w:sz w:val="21"/>
              </w:rPr>
              <w:t>2.8严格按照双方确定的计划进度保质保量完成工作。</w:t>
            </w:r>
          </w:p>
          <w:p>
            <w:pPr>
              <w:pStyle w:val="null3"/>
            </w:pPr>
            <w:r>
              <w:rPr>
                <w:rFonts w:ascii="仿宋_GB2312" w:hAnsi="仿宋_GB2312" w:cs="仿宋_GB2312" w:eastAsia="仿宋_GB2312"/>
                <w:sz w:val="21"/>
              </w:rPr>
              <w:t>2.9规范软件实施过程中的文档管理。</w:t>
            </w:r>
          </w:p>
          <w:p>
            <w:pPr>
              <w:pStyle w:val="null3"/>
            </w:pPr>
            <w:r>
              <w:rPr>
                <w:rFonts w:ascii="仿宋_GB2312" w:hAnsi="仿宋_GB2312" w:cs="仿宋_GB2312" w:eastAsia="仿宋_GB2312"/>
                <w:sz w:val="21"/>
              </w:rPr>
              <w:t>★2.10质量保证期：软件产品的技术支持服务免费维护期≥叁年，从项目验收之日起算。</w:t>
            </w:r>
          </w:p>
          <w:p>
            <w:pPr>
              <w:pStyle w:val="null3"/>
            </w:pPr>
            <w:r>
              <w:rPr>
                <w:rFonts w:ascii="仿宋_GB2312" w:hAnsi="仿宋_GB2312" w:cs="仿宋_GB2312" w:eastAsia="仿宋_GB2312"/>
                <w:sz w:val="21"/>
              </w:rPr>
              <w:t>★2.11系统要求满足国家智慧医疗分级评价标准，并在实施服务期内，免费提供采购方需要的评级材料及评级支持工作。</w:t>
            </w:r>
          </w:p>
          <w:p>
            <w:pPr>
              <w:pStyle w:val="null3"/>
            </w:pPr>
            <w:r>
              <w:rPr>
                <w:rFonts w:ascii="仿宋_GB2312" w:hAnsi="仿宋_GB2312" w:cs="仿宋_GB2312" w:eastAsia="仿宋_GB2312"/>
                <w:sz w:val="21"/>
              </w:rPr>
              <w:t>2.12采购方提供虚拟服务器资源，供应商负责安装所需服务端环境包括不限于数据库、中间件、操作系统等。</w:t>
            </w:r>
          </w:p>
          <w:p>
            <w:pPr>
              <w:pStyle w:val="null3"/>
            </w:pPr>
            <w:r>
              <w:rPr>
                <w:rFonts w:ascii="仿宋_GB2312" w:hAnsi="仿宋_GB2312" w:cs="仿宋_GB2312" w:eastAsia="仿宋_GB2312"/>
                <w:sz w:val="21"/>
              </w:rPr>
              <w:t>项目实施及系统质保期内，负责配合医院完成合理业务需求的系统对接工作，并负责完成对应的开发工作。</w:t>
            </w:r>
          </w:p>
          <w:p>
            <w:pPr>
              <w:pStyle w:val="null3"/>
              <w:outlineLvl w:val="1"/>
            </w:pPr>
            <w:r>
              <w:rPr>
                <w:rFonts w:ascii="仿宋_GB2312" w:hAnsi="仿宋_GB2312" w:cs="仿宋_GB2312" w:eastAsia="仿宋_GB2312"/>
                <w:sz w:val="21"/>
                <w:b/>
              </w:rPr>
              <w:t>3、人员要求</w:t>
            </w:r>
          </w:p>
          <w:p>
            <w:pPr>
              <w:pStyle w:val="null3"/>
            </w:pPr>
            <w:r>
              <w:rPr>
                <w:rFonts w:ascii="仿宋_GB2312" w:hAnsi="仿宋_GB2312" w:cs="仿宋_GB2312" w:eastAsia="仿宋_GB2312"/>
                <w:sz w:val="21"/>
              </w:rPr>
              <w:t>供应商需提供项目组成员姓名、学历、相关资质、近三个月社保证明、在本项目中的职责及以前参与过的项目情况说明等。</w:t>
            </w:r>
          </w:p>
          <w:p>
            <w:pPr>
              <w:pStyle w:val="null3"/>
              <w:outlineLvl w:val="1"/>
            </w:pPr>
            <w:r>
              <w:rPr>
                <w:rFonts w:ascii="仿宋_GB2312" w:hAnsi="仿宋_GB2312" w:cs="仿宋_GB2312" w:eastAsia="仿宋_GB2312"/>
                <w:sz w:val="21"/>
                <w:b/>
              </w:rPr>
              <w:t>4、文档交付要求</w:t>
            </w:r>
          </w:p>
          <w:p>
            <w:pPr>
              <w:pStyle w:val="null3"/>
              <w:outlineLvl w:val="1"/>
            </w:pPr>
            <w:r>
              <w:rPr>
                <w:rFonts w:ascii="仿宋_GB2312" w:hAnsi="仿宋_GB2312" w:cs="仿宋_GB2312" w:eastAsia="仿宋_GB2312"/>
                <w:sz w:val="21"/>
                <w:b/>
              </w:rPr>
              <w:t>应用系统开发应严格按照国家软件工程规范进行，在整个项目实施过程中，须根据开发进度，按照医院要求及时提供用户相关技术文档，包括：</w:t>
            </w:r>
          </w:p>
          <w:p>
            <w:pPr>
              <w:pStyle w:val="null3"/>
            </w:pPr>
            <w:r>
              <w:rPr>
                <w:rFonts w:ascii="仿宋_GB2312" w:hAnsi="仿宋_GB2312" w:cs="仿宋_GB2312" w:eastAsia="仿宋_GB2312"/>
                <w:sz w:val="21"/>
              </w:rPr>
              <w:t>Ø准备阶段：《实施方案》；</w:t>
            </w:r>
          </w:p>
          <w:p>
            <w:pPr>
              <w:pStyle w:val="null3"/>
            </w:pPr>
            <w:r>
              <w:rPr>
                <w:rFonts w:ascii="仿宋_GB2312" w:hAnsi="仿宋_GB2312" w:cs="仿宋_GB2312" w:eastAsia="仿宋_GB2312"/>
                <w:sz w:val="21"/>
              </w:rPr>
              <w:t>Ø需求分析阶段：定制化开发部分《需求分析说明书》；</w:t>
            </w:r>
          </w:p>
          <w:p>
            <w:pPr>
              <w:pStyle w:val="null3"/>
            </w:pPr>
            <w:r>
              <w:rPr>
                <w:rFonts w:ascii="仿宋_GB2312" w:hAnsi="仿宋_GB2312" w:cs="仿宋_GB2312" w:eastAsia="仿宋_GB2312"/>
                <w:sz w:val="21"/>
              </w:rPr>
              <w:t>Ø设计阶段：定制化开发部分《概要设计说明书》、第三方系统对接相关《接口说明书》；</w:t>
            </w:r>
          </w:p>
          <w:p>
            <w:pPr>
              <w:pStyle w:val="null3"/>
            </w:pPr>
            <w:r>
              <w:rPr>
                <w:rFonts w:ascii="仿宋_GB2312" w:hAnsi="仿宋_GB2312" w:cs="仿宋_GB2312" w:eastAsia="仿宋_GB2312"/>
                <w:sz w:val="21"/>
              </w:rPr>
              <w:t>Ø测试阶段：《测试用例》、《测试报告》；</w:t>
            </w:r>
          </w:p>
          <w:p>
            <w:pPr>
              <w:pStyle w:val="null3"/>
            </w:pPr>
            <w:r>
              <w:rPr>
                <w:rFonts w:ascii="仿宋_GB2312" w:hAnsi="仿宋_GB2312" w:cs="仿宋_GB2312" w:eastAsia="仿宋_GB2312"/>
                <w:sz w:val="21"/>
              </w:rPr>
              <w:t>Ø上线阶段：《上线方案》、《试运行/上线报告》；</w:t>
            </w:r>
          </w:p>
          <w:p>
            <w:pPr>
              <w:pStyle w:val="null3"/>
            </w:pPr>
            <w:r>
              <w:rPr>
                <w:rFonts w:ascii="仿宋_GB2312" w:hAnsi="仿宋_GB2312" w:cs="仿宋_GB2312" w:eastAsia="仿宋_GB2312"/>
                <w:sz w:val="21"/>
              </w:rPr>
              <w:t>Ø过程文档：《培训计划》、《培训记录》、《例会记录》；</w:t>
            </w:r>
          </w:p>
          <w:p>
            <w:pPr>
              <w:pStyle w:val="null3"/>
            </w:pPr>
            <w:r>
              <w:rPr>
                <w:rFonts w:ascii="仿宋_GB2312" w:hAnsi="仿宋_GB2312" w:cs="仿宋_GB2312" w:eastAsia="仿宋_GB2312"/>
                <w:sz w:val="21"/>
              </w:rPr>
              <w:t>Ø交付使用：《用户手册》。</w:t>
            </w:r>
          </w:p>
          <w:p>
            <w:pPr>
              <w:pStyle w:val="null3"/>
              <w:outlineLvl w:val="1"/>
            </w:pPr>
            <w:r>
              <w:rPr>
                <w:rFonts w:ascii="仿宋_GB2312" w:hAnsi="仿宋_GB2312" w:cs="仿宋_GB2312" w:eastAsia="仿宋_GB2312"/>
                <w:sz w:val="21"/>
                <w:b/>
              </w:rPr>
              <w:t>5、安全及隐私要求</w:t>
            </w:r>
          </w:p>
          <w:p>
            <w:pPr>
              <w:pStyle w:val="null3"/>
            </w:pPr>
            <w:r>
              <w:rPr>
                <w:rFonts w:ascii="仿宋_GB2312" w:hAnsi="仿宋_GB2312" w:cs="仿宋_GB2312" w:eastAsia="仿宋_GB2312"/>
                <w:sz w:val="21"/>
              </w:rPr>
              <w:t>信息安全是任何业务开展的基础，供应商对于本次项目涉及的相关信息的安全和隐私保护措施，给出详细可行的解决方案，包括但不限于应用审计安全、用户权限控制等。</w:t>
            </w:r>
          </w:p>
          <w:p>
            <w:pPr>
              <w:pStyle w:val="null3"/>
              <w:outlineLvl w:val="1"/>
            </w:pPr>
            <w:r>
              <w:rPr>
                <w:rFonts w:ascii="仿宋_GB2312" w:hAnsi="仿宋_GB2312" w:cs="仿宋_GB2312" w:eastAsia="仿宋_GB2312"/>
                <w:sz w:val="21"/>
                <w:b/>
              </w:rPr>
              <w:t>6、交付期</w:t>
            </w:r>
          </w:p>
          <w:p>
            <w:pPr>
              <w:pStyle w:val="null3"/>
            </w:pPr>
            <w:r>
              <w:rPr>
                <w:rFonts w:ascii="仿宋_GB2312" w:hAnsi="仿宋_GB2312" w:cs="仿宋_GB2312" w:eastAsia="仿宋_GB2312"/>
                <w:sz w:val="21"/>
              </w:rPr>
              <w:t>合同签订后6个月内，完成本项目内容整体交付工作。</w:t>
            </w:r>
          </w:p>
          <w:p>
            <w:pPr>
              <w:pStyle w:val="null3"/>
              <w:outlineLvl w:val="1"/>
            </w:pPr>
            <w:r>
              <w:rPr>
                <w:rFonts w:ascii="仿宋_GB2312" w:hAnsi="仿宋_GB2312" w:cs="仿宋_GB2312" w:eastAsia="仿宋_GB2312"/>
                <w:sz w:val="21"/>
                <w:b/>
              </w:rPr>
              <w:t>7、培训要求</w:t>
            </w:r>
          </w:p>
          <w:p>
            <w:pPr>
              <w:pStyle w:val="null3"/>
            </w:pPr>
            <w:r>
              <w:rPr>
                <w:rFonts w:ascii="仿宋_GB2312" w:hAnsi="仿宋_GB2312" w:cs="仿宋_GB2312" w:eastAsia="仿宋_GB2312"/>
                <w:sz w:val="21"/>
              </w:rPr>
              <w:t>供应商须提供包括系统软件、应用软件、安装调试等内容的培训。培训应面对不同层面的系统用户，保证用户能独立地管理、维护和配置系统，以便整个系统能够正常、安全的运行。</w:t>
            </w:r>
          </w:p>
          <w:p>
            <w:pPr>
              <w:pStyle w:val="null3"/>
              <w:outlineLvl w:val="1"/>
            </w:pPr>
            <w:r>
              <w:rPr>
                <w:rFonts w:ascii="仿宋_GB2312" w:hAnsi="仿宋_GB2312" w:cs="仿宋_GB2312" w:eastAsia="仿宋_GB2312"/>
                <w:sz w:val="21"/>
                <w:b/>
              </w:rPr>
              <w:t>8、验收要求</w:t>
            </w:r>
          </w:p>
          <w:p>
            <w:pPr>
              <w:pStyle w:val="null3"/>
            </w:pPr>
            <w:r>
              <w:rPr>
                <w:rFonts w:ascii="仿宋_GB2312" w:hAnsi="仿宋_GB2312" w:cs="仿宋_GB2312" w:eastAsia="仿宋_GB2312"/>
                <w:sz w:val="21"/>
              </w:rPr>
              <w:t>8.1项目完成后，试运行满90日且无重大问题，由中标方向采购人提出验收申请，采购人负责组织项目验收；</w:t>
            </w:r>
          </w:p>
          <w:p>
            <w:pPr>
              <w:pStyle w:val="null3"/>
            </w:pPr>
            <w:r>
              <w:rPr>
                <w:rFonts w:ascii="仿宋_GB2312" w:hAnsi="仿宋_GB2312" w:cs="仿宋_GB2312" w:eastAsia="仿宋_GB2312"/>
                <w:sz w:val="21"/>
              </w:rPr>
              <w:t>8.2验收组织：由采购人负责组织自行验收。</w:t>
            </w:r>
          </w:p>
          <w:p>
            <w:pPr>
              <w:pStyle w:val="null3"/>
            </w:pPr>
            <w:r>
              <w:rPr>
                <w:rFonts w:ascii="仿宋_GB2312" w:hAnsi="仿宋_GB2312" w:cs="仿宋_GB2312" w:eastAsia="仿宋_GB2312"/>
                <w:sz w:val="21"/>
              </w:rPr>
              <w:t>8.3验收标准：依据招标文件、投标文件、澄清表、合同条款、功能参数等其他要求及国家强制性规定。</w:t>
            </w:r>
          </w:p>
          <w:p>
            <w:pPr>
              <w:pStyle w:val="null3"/>
            </w:pPr>
            <w:r>
              <w:rPr>
                <w:rFonts w:ascii="仿宋_GB2312" w:hAnsi="仿宋_GB2312" w:cs="仿宋_GB2312" w:eastAsia="仿宋_GB2312"/>
                <w:sz w:val="21"/>
              </w:rPr>
              <w:t>8.4验收条件：</w:t>
            </w:r>
          </w:p>
          <w:p>
            <w:pPr>
              <w:pStyle w:val="null3"/>
            </w:pPr>
            <w:r>
              <w:rPr>
                <w:rFonts w:ascii="仿宋_GB2312" w:hAnsi="仿宋_GB2312" w:cs="仿宋_GB2312" w:eastAsia="仿宋_GB2312"/>
                <w:sz w:val="21"/>
              </w:rPr>
              <w:t>(1)整理本次项目相关文档；</w:t>
            </w:r>
          </w:p>
          <w:p>
            <w:pPr>
              <w:pStyle w:val="null3"/>
            </w:pPr>
            <w:r>
              <w:rPr>
                <w:rFonts w:ascii="仿宋_GB2312" w:hAnsi="仿宋_GB2312" w:cs="仿宋_GB2312" w:eastAsia="仿宋_GB2312"/>
                <w:sz w:val="21"/>
              </w:rPr>
              <w:t>8.5向采购方提供的技术文档包括但不限于以下内容</w:t>
            </w:r>
          </w:p>
          <w:p>
            <w:pPr>
              <w:pStyle w:val="null3"/>
            </w:pPr>
            <w:r>
              <w:rPr>
                <w:rFonts w:ascii="仿宋_GB2312" w:hAnsi="仿宋_GB2312" w:cs="仿宋_GB2312" w:eastAsia="仿宋_GB2312"/>
                <w:sz w:val="21"/>
              </w:rPr>
              <w:t>(1)技术文档（包含但不限于以下内容）</w:t>
            </w:r>
          </w:p>
          <w:p>
            <w:pPr>
              <w:pStyle w:val="null3"/>
            </w:pPr>
            <w:r>
              <w:rPr>
                <w:rFonts w:ascii="仿宋_GB2312" w:hAnsi="仿宋_GB2312" w:cs="仿宋_GB2312" w:eastAsia="仿宋_GB2312"/>
                <w:sz w:val="21"/>
              </w:rPr>
              <w:t>(2)用户调查与需求分析报告</w:t>
            </w:r>
          </w:p>
          <w:p>
            <w:pPr>
              <w:pStyle w:val="null3"/>
            </w:pPr>
            <w:r>
              <w:rPr>
                <w:rFonts w:ascii="仿宋_GB2312" w:hAnsi="仿宋_GB2312" w:cs="仿宋_GB2312" w:eastAsia="仿宋_GB2312"/>
                <w:sz w:val="21"/>
              </w:rPr>
              <w:t>(3)系统概要设计方案</w:t>
            </w:r>
          </w:p>
          <w:p>
            <w:pPr>
              <w:pStyle w:val="null3"/>
            </w:pPr>
            <w:r>
              <w:rPr>
                <w:rFonts w:ascii="仿宋_GB2312" w:hAnsi="仿宋_GB2312" w:cs="仿宋_GB2312" w:eastAsia="仿宋_GB2312"/>
                <w:sz w:val="21"/>
              </w:rPr>
              <w:t>(4)项目实施计划</w:t>
            </w:r>
          </w:p>
          <w:p>
            <w:pPr>
              <w:pStyle w:val="null3"/>
            </w:pPr>
            <w:r>
              <w:rPr>
                <w:rFonts w:ascii="仿宋_GB2312" w:hAnsi="仿宋_GB2312" w:cs="仿宋_GB2312" w:eastAsia="仿宋_GB2312"/>
                <w:sz w:val="21"/>
              </w:rPr>
              <w:t>(5)项目实施过程文档</w:t>
            </w:r>
          </w:p>
          <w:p>
            <w:pPr>
              <w:pStyle w:val="null3"/>
            </w:pPr>
            <w:r>
              <w:rPr>
                <w:rFonts w:ascii="仿宋_GB2312" w:hAnsi="仿宋_GB2312" w:cs="仿宋_GB2312" w:eastAsia="仿宋_GB2312"/>
                <w:sz w:val="21"/>
              </w:rPr>
              <w:t>(6)功能规格说明书</w:t>
            </w:r>
          </w:p>
          <w:p>
            <w:pPr>
              <w:pStyle w:val="null3"/>
            </w:pPr>
            <w:r>
              <w:rPr>
                <w:rFonts w:ascii="仿宋_GB2312" w:hAnsi="仿宋_GB2312" w:cs="仿宋_GB2312" w:eastAsia="仿宋_GB2312"/>
                <w:sz w:val="21"/>
              </w:rPr>
              <w:t>(7)系统详细设计说明书</w:t>
            </w:r>
          </w:p>
          <w:p>
            <w:pPr>
              <w:pStyle w:val="null3"/>
            </w:pPr>
            <w:r>
              <w:rPr>
                <w:rFonts w:ascii="仿宋_GB2312" w:hAnsi="仿宋_GB2312" w:cs="仿宋_GB2312" w:eastAsia="仿宋_GB2312"/>
                <w:sz w:val="21"/>
              </w:rPr>
              <w:t>(8)系统模块设计说明书</w:t>
            </w:r>
          </w:p>
          <w:p>
            <w:pPr>
              <w:pStyle w:val="null3"/>
            </w:pPr>
            <w:r>
              <w:rPr>
                <w:rFonts w:ascii="仿宋_GB2312" w:hAnsi="仿宋_GB2312" w:cs="仿宋_GB2312" w:eastAsia="仿宋_GB2312"/>
                <w:sz w:val="21"/>
              </w:rPr>
              <w:t>(9)数据库设计说明</w:t>
            </w:r>
          </w:p>
          <w:p>
            <w:pPr>
              <w:pStyle w:val="null3"/>
            </w:pPr>
            <w:r>
              <w:rPr>
                <w:rFonts w:ascii="仿宋_GB2312" w:hAnsi="仿宋_GB2312" w:cs="仿宋_GB2312" w:eastAsia="仿宋_GB2312"/>
                <w:sz w:val="21"/>
              </w:rPr>
              <w:t>(10)系统维护手册</w:t>
            </w:r>
          </w:p>
          <w:p>
            <w:pPr>
              <w:pStyle w:val="null3"/>
            </w:pPr>
            <w:r>
              <w:rPr>
                <w:rFonts w:ascii="仿宋_GB2312" w:hAnsi="仿宋_GB2312" w:cs="仿宋_GB2312" w:eastAsia="仿宋_GB2312"/>
                <w:sz w:val="21"/>
              </w:rPr>
              <w:t>(11)用户操作手册</w:t>
            </w:r>
          </w:p>
          <w:p>
            <w:pPr>
              <w:pStyle w:val="null3"/>
            </w:pPr>
            <w:r>
              <w:rPr>
                <w:rFonts w:ascii="仿宋_GB2312" w:hAnsi="仿宋_GB2312" w:cs="仿宋_GB2312" w:eastAsia="仿宋_GB2312"/>
                <w:sz w:val="21"/>
              </w:rPr>
              <w:t>(12)测试报告</w:t>
            </w:r>
          </w:p>
          <w:p>
            <w:pPr>
              <w:pStyle w:val="null3"/>
              <w:outlineLvl w:val="1"/>
            </w:pPr>
            <w:r>
              <w:rPr>
                <w:rFonts w:ascii="仿宋_GB2312" w:hAnsi="仿宋_GB2312" w:cs="仿宋_GB2312" w:eastAsia="仿宋_GB2312"/>
                <w:sz w:val="21"/>
                <w:b/>
              </w:rPr>
              <w:t>9、售后服务</w:t>
            </w:r>
          </w:p>
          <w:p>
            <w:pPr>
              <w:pStyle w:val="null3"/>
            </w:pPr>
            <w:r>
              <w:rPr>
                <w:rFonts w:ascii="仿宋_GB2312" w:hAnsi="仿宋_GB2312" w:cs="仿宋_GB2312" w:eastAsia="仿宋_GB2312"/>
                <w:sz w:val="21"/>
              </w:rPr>
              <w:t>9.1、供应商需保证系统运行正常。</w:t>
            </w:r>
          </w:p>
          <w:p>
            <w:pPr>
              <w:pStyle w:val="null3"/>
            </w:pPr>
            <w:r>
              <w:rPr>
                <w:rFonts w:ascii="仿宋_GB2312" w:hAnsi="仿宋_GB2312" w:cs="仿宋_GB2312" w:eastAsia="仿宋_GB2312"/>
                <w:sz w:val="21"/>
              </w:rPr>
              <w:t xml:space="preserve">9.2质保期内，在不改变软件整体架构前提下，应满足所提供软件的功能模块个性化需求；应提供系统扩充、升级方面的技术支持服务，提供个性化需求。 </w:t>
            </w:r>
          </w:p>
          <w:p>
            <w:pPr>
              <w:pStyle w:val="null3"/>
            </w:pPr>
            <w:r>
              <w:rPr>
                <w:rFonts w:ascii="仿宋_GB2312" w:hAnsi="仿宋_GB2312" w:cs="仿宋_GB2312" w:eastAsia="仿宋_GB2312"/>
                <w:sz w:val="21"/>
              </w:rPr>
              <w:t>9.3提供7*24小时的维护和故障解决, 在实施阶段必须保障1人以上驻场服务，维护期内每季度不少于3次巡检。</w:t>
            </w:r>
          </w:p>
          <w:p>
            <w:pPr>
              <w:pStyle w:val="null3"/>
            </w:pPr>
            <w:r>
              <w:rPr>
                <w:rFonts w:ascii="仿宋_GB2312" w:hAnsi="仿宋_GB2312" w:cs="仿宋_GB2312" w:eastAsia="仿宋_GB2312"/>
                <w:sz w:val="21"/>
              </w:rPr>
              <w:t>9.4在使用过程中若产品发生质量问题或故障，在接到采购人通知后立即响应，2个小时到达故障现场处理，一般故障处理时限不超过6小时。重大故障处理时限不超过12小时，若24小时内不能修复，必须提供应急必选使用方案。提供7*24小时系统故障电话响应，远程处理，免费维护的技术服务。</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rPr>
              <w:t>10、合同价款</w:t>
            </w:r>
          </w:p>
          <w:p>
            <w:pPr>
              <w:pStyle w:val="null3"/>
            </w:pPr>
            <w:r>
              <w:rPr>
                <w:rFonts w:ascii="仿宋_GB2312" w:hAnsi="仿宋_GB2312" w:cs="仿宋_GB2312" w:eastAsia="仿宋_GB2312"/>
                <w:sz w:val="21"/>
              </w:rPr>
              <w:t>10.1合同总价包括：完成本项目软件产品购置费、所有技术服务费和配合费、管理费、验收、税金、利润、培训、售后服务及全部明示和暗示的风险及本项目所涵盖的一切费用。</w:t>
            </w:r>
          </w:p>
          <w:p>
            <w:pPr>
              <w:pStyle w:val="null3"/>
            </w:pPr>
            <w:r>
              <w:rPr>
                <w:rFonts w:ascii="仿宋_GB2312" w:hAnsi="仿宋_GB2312" w:cs="仿宋_GB2312" w:eastAsia="仿宋_GB2312"/>
                <w:sz w:val="21"/>
              </w:rPr>
              <w:t>10.2合同总价一次性包死，不受市场价格变化因素的影响。</w:t>
            </w:r>
          </w:p>
          <w:p>
            <w:pPr>
              <w:pStyle w:val="null3"/>
              <w:outlineLvl w:val="1"/>
            </w:pPr>
            <w:r>
              <w:rPr>
                <w:rFonts w:ascii="仿宋_GB2312" w:hAnsi="仿宋_GB2312" w:cs="仿宋_GB2312" w:eastAsia="仿宋_GB2312"/>
                <w:sz w:val="21"/>
                <w:b/>
              </w:rPr>
              <w:t xml:space="preserve"> 11、款项结算</w:t>
            </w:r>
          </w:p>
          <w:p>
            <w:pPr>
              <w:pStyle w:val="null3"/>
            </w:pPr>
            <w:r>
              <w:rPr>
                <w:rFonts w:ascii="仿宋_GB2312" w:hAnsi="仿宋_GB2312" w:cs="仿宋_GB2312" w:eastAsia="仿宋_GB2312"/>
                <w:sz w:val="21"/>
              </w:rPr>
              <w:t>付款条件说明： 采购包1： 付款条件说明： 合同签订 乙方正式进场后，乙方向甲方提供等额正规发票 14 日内，支付合同总金额的 70.00%。</w:t>
            </w:r>
          </w:p>
          <w:p>
            <w:pPr>
              <w:pStyle w:val="null3"/>
            </w:pPr>
            <w:r>
              <w:rPr>
                <w:rFonts w:ascii="仿宋_GB2312" w:hAnsi="仿宋_GB2312" w:cs="仿宋_GB2312" w:eastAsia="仿宋_GB2312"/>
                <w:sz w:val="21"/>
              </w:rPr>
              <w:t>采购包1： 付款条件说明： 所有货物到达甲方指定地点，安装、调试完毕并初步验收合格后，乙方开具相应金额的发票后， 14 日内，甲方支付合同总价款的15%。</w:t>
            </w:r>
          </w:p>
          <w:p>
            <w:pPr>
              <w:pStyle w:val="null3"/>
            </w:pPr>
            <w:r>
              <w:rPr>
                <w:rFonts w:ascii="仿宋_GB2312" w:hAnsi="仿宋_GB2312" w:cs="仿宋_GB2312" w:eastAsia="仿宋_GB2312"/>
                <w:sz w:val="21"/>
              </w:rPr>
              <w:t>采购包1： 付款条件说明： 项目终验合格后，乙方开具剩余15%金额的发票后，达到付款条件起 14 日内，甲方支付合同总价款的10%。</w:t>
            </w:r>
          </w:p>
          <w:p>
            <w:pPr>
              <w:pStyle w:val="null3"/>
            </w:pPr>
            <w:r>
              <w:rPr>
                <w:rFonts w:ascii="仿宋_GB2312" w:hAnsi="仿宋_GB2312" w:cs="仿宋_GB2312" w:eastAsia="仿宋_GB2312"/>
                <w:sz w:val="21"/>
              </w:rPr>
              <w:t>采购包1： 付款条件说明：质保期内，如无质量、服务问题，质保期满达到付款条件起 14 日内，无息支付合同总金额的 5%。</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rPr>
              <w:t>11.2支付方式：银行转账。乙方要如实开具发票，不得变更开票内容，乙方开具发票出现税务争议时，乙方需承担税款、滞纳金、罚款等赔偿责任以及其他相关责任。</w:t>
            </w:r>
          </w:p>
          <w:p>
            <w:pPr>
              <w:pStyle w:val="null3"/>
            </w:pPr>
            <w:r>
              <w:rPr>
                <w:rFonts w:ascii="仿宋_GB2312" w:hAnsi="仿宋_GB2312" w:cs="仿宋_GB2312" w:eastAsia="仿宋_GB2312"/>
                <w:sz w:val="21"/>
              </w:rPr>
              <w:t>11.3结算方式：验收合格后填写验收单（一式肆份）, 持中标通知书、供货合同、发票（按合同总价直开甲方）、验收单，到甲方办理资金结算。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需提供项目组成员姓名、学历、相关资质、近三个月社保证明、在本项目中的职责及以前参与过的项目情况说明等。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交付期：合同签订后6个月内，完成本项目内容整体交付工作。质保期：自验收合格之日起≥3年。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西安市胸科医院指定地点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磋商文件、响应文件、合同约定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合同签订乙方正式进场后，乙方向甲方提供等额正规发票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所有货物到达甲方指定地点，安装、调试完毕并初步验收合格后，乙方开具相应金额的发票后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项目终验合格后，乙方开具剩余15%金额的发票后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质保期内，如无质量、服务问题，质保期满</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线下递交文件地点： 西安市雁塔区唐延路35号旺座现代城C座2502室； 邮箱：sxwzzb123@163.com。3、本项目需提供现场演示。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供应商须提供2024年7月至今已缴纳的至少一个月纳税证明或完税证明，依法免税的单位应提供相关证明材料；（以税款所属期限为准）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进入西安市卫健委各级系统“黑名单”的，不得参与投标</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采购人职工及其配偶、直系亲属投资开办或在相关企业担任高管、独立董事等有重大利益关系职务的相关供应商，不得参与磋商（提供承诺函）</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单位负责人为同一人或者存在直接控股、管理关系的不同单位不得同时投标</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是否允许联合体磋商</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供应商资质证明资料.docx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磋商一览表.docx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交付期、质保期</w:t>
            </w:r>
          </w:p>
        </w:tc>
        <w:tc>
          <w:tcPr>
            <w:tcW w:type="dxa" w:w="3322"/>
          </w:tcPr>
          <w:p>
            <w:pPr>
              <w:pStyle w:val="null3"/>
            </w:pPr>
            <w:r>
              <w:rPr>
                <w:rFonts w:ascii="仿宋_GB2312" w:hAnsi="仿宋_GB2312" w:cs="仿宋_GB2312" w:eastAsia="仿宋_GB2312"/>
              </w:rPr>
              <w:t>交付期、质保期是否满足竞争性磋商文件要求</w:t>
            </w:r>
          </w:p>
        </w:tc>
        <w:tc>
          <w:tcPr>
            <w:tcW w:type="dxa" w:w="1661"/>
          </w:tcPr>
          <w:p>
            <w:pPr>
              <w:pStyle w:val="null3"/>
            </w:pPr>
            <w:r>
              <w:rPr>
                <w:rFonts w:ascii="仿宋_GB2312" w:hAnsi="仿宋_GB2312" w:cs="仿宋_GB2312" w:eastAsia="仿宋_GB2312"/>
              </w:rPr>
              <w:t>响应文件封面 磋商一览表.docx 标的清单 报价表 商务响应偏差表.docx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磋商一览表.docx 商务响应偏差表.docx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供应商资质证明资料.docx 中小企业声明函 供应商业绩一览表.docx 承诺书.docx 报价表 企业实力.docx 商务响应偏差表.docx 供应商承诺书.docx 响应文件封面 磋商一览表.docx 分项报价表.docx 残疾人福利性单位声明函 标的清单 技术响应偏差表.docx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社保缴纳证明资料</w:t>
            </w:r>
          </w:p>
        </w:tc>
        <w:tc>
          <w:tcPr>
            <w:tcW w:type="dxa" w:w="3322"/>
          </w:tcPr>
          <w:p>
            <w:pPr>
              <w:pStyle w:val="null3"/>
            </w:pPr>
            <w:r>
              <w:rPr>
                <w:rFonts w:ascii="仿宋_GB2312" w:hAnsi="仿宋_GB2312" w:cs="仿宋_GB2312" w:eastAsia="仿宋_GB2312"/>
              </w:rPr>
              <w:t>若投标人代表为法定代表人须提供法定代表人近三个月社保缴纳证明资料；若法定代表人授权被授权人参与投标，须提供被授权人近三个月社保缴纳证明资料。</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法律法规和实质性要求：是否符合法律法规和磋商文件规定的其他实质性要求</w:t>
            </w:r>
          </w:p>
        </w:tc>
        <w:tc>
          <w:tcPr>
            <w:tcW w:type="dxa" w:w="1661"/>
          </w:tcPr>
          <w:p>
            <w:pPr>
              <w:pStyle w:val="null3"/>
            </w:pPr>
            <w:r>
              <w:rPr>
                <w:rFonts w:ascii="仿宋_GB2312" w:hAnsi="仿宋_GB2312" w:cs="仿宋_GB2312" w:eastAsia="仿宋_GB2312"/>
              </w:rPr>
              <w:t>承诺书.docx 技术响应偏差表.docx 商务响应偏差表.docx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功能响应情况</w:t>
            </w:r>
          </w:p>
        </w:tc>
        <w:tc>
          <w:tcPr>
            <w:tcW w:type="dxa" w:w="2492"/>
          </w:tcPr>
          <w:p>
            <w:pPr>
              <w:pStyle w:val="null3"/>
            </w:pPr>
            <w:r>
              <w:rPr>
                <w:rFonts w:ascii="仿宋_GB2312" w:hAnsi="仿宋_GB2312" w:cs="仿宋_GB2312" w:eastAsia="仿宋_GB2312"/>
              </w:rPr>
              <w:t>1、完全满足采购需求功能和技术要求得15分，含带“▲”技术参数为重要技术参数；负偏离一项扣1分；其他参数负偏离一项扣 0.5分，扣完为止。 注：响应内容不能完全复制磋商文件技术参数要求，如响应文件完全复制磋商文件技术参数要求的，磋商小组将对其本项扣5分。 ▲为重要技术参数，需提供对应系统功能截图。</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功能响应情况.docx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 涉及的标“此所有项需提供现场演示”项技术要求，全部满足得23分，未演示或演示不全每项扣2分，扣完为止。 注：需提供对应系统功能截图，并需进行现场模拟软件内容展示,供应商须使用实际生产环境或开发环境的真实系统进行演示，非模拟软件演示视为不符合要求，不接受PPT、视频或者静态界面的非真实系统平台演示,演示时间不超过10分钟，演示人员不超过2人，供应商自行准备演示所需各类设备和网络环境，演示现场仅提供投影。</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功能响应情况.docx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包括但不限于项目总体实施方案、项目组织及协调方案、系统调试（验收）方案、整体系统建设方案、服务质量保证方案（交付目标、交付内容、交付工期、交付计划、质量保障措施）。方案制定内容齐全，各类措施健全，完全满足采购需求并符合本项目实施特点的得10 分；以上方面中每缺少一方面内容扣 2 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供应商或所投产品生产厂家针对本项目拟配备人员组成，包括但不限于岗位设置、岗位职责，人员年龄、工作经验、所在岗位等，根据人员配置方案赋分。 内容完整、可实施、且有针对性得6分；内容完整、可实施得4分；方案基本完整得2分；未提供不得分。注：上述人员需提供供应商或所投产品生产厂家与其个人签订的劳动（务）合同或者投标截止时间前由供应商或所投产品生产厂家为其缴纳近3个月的社保交纳证明材料，未提供不得分。项目具体实施人员需为项目投标文件中安排人员。</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1）针对本项目实际情况及采购人需求，供应商应提供具体可行的售后服务措施承诺及明确详细的售后服务人员组成和安排，包括但不限于升级、功能完善、数据备份恢复、故障排除、定期巡检、性能调优、技术咨询等完全满足采购需求并符合本项目实施特点的得7分；以上内容中每缺少一项内容扣 1分；每有一处内容与实际需求不符或不满足要求或与本项目需求不切合或直接套用其他项目内容的扣0.5分，扣完为止。未提供不得分。 （2）供应商应向采购人提供操作培训，并附有完整的培训方案，列出详细的培训内容、培训方式、培训人员、培训场次等，完全满足采购需求并符合本项目实施特点的得4分；以上内容中每缺少一项内容扣 1分；每有一处内容与实际需求不符或不满足要求或与本项目需求不切合或直接套用其他项目内容的扣0.5分，扣完为止。未提供不得分。 评审依据：提供售后服务及培训方案，售后服务机构专职人员名单。</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需提供本项目在质保期内的应急响应服务，包括但不限于应急响应保障方案和人员，按照提供的应急响应保障方案、应急响应时效、应急响应方法、恢复时间、应急人员等情况进行横向对比综合打分。完全满足采购需求并符合本项目实施特点的得10分；以上内容中每缺少一项内容扣2分；每有一处内容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应急保障.docx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提供：ISO20000信息技术服务管理体系认证；ISO27001信息安全管理体系认证；ISO9001质量管理体系认证证书；每提供一个得1分，最高得3分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质保期满足采购文件要求的不得分，质保期每增加半年得1分，最高得2分。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磋商一览表.docx</w:t>
            </w:r>
          </w:p>
          <w:p>
            <w:pPr>
              <w:pStyle w:val="null3"/>
            </w:pPr>
            <w:r>
              <w:rPr>
                <w:rFonts w:ascii="仿宋_GB2312" w:hAnsi="仿宋_GB2312" w:cs="仿宋_GB2312" w:eastAsia="仿宋_GB2312"/>
              </w:rPr>
              <w:t>商务响应偏差表.docx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提供2022年1月1日至今所投产品项目业绩完整合同复印件为准。每提供一个得1分；本项最高得5分。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1、经初审合格的供应商，其最后提交的磋商响应报价为有效响应报价。 2、评审基准价：即满足磋商文件要求且价格最低的响应报价为评审基准价。 3、其他供应商的价格分统一按照下列公式计算。 4、响应报价得分=(评审基准价／响应报价)×15。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详见附件：供应商资质证明资料.docx</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详见附件：商务响应偏差表.docx</w:t>
      </w:r>
    </w:p>
    <w:p>
      <w:pPr>
        <w:pStyle w:val="null3"/>
        <w:ind w:firstLine="960"/>
      </w:pPr>
      <w:r>
        <w:rPr>
          <w:rFonts w:ascii="仿宋_GB2312" w:hAnsi="仿宋_GB2312" w:cs="仿宋_GB2312" w:eastAsia="仿宋_GB2312"/>
        </w:rPr>
        <w:t>详见附件：技术响应偏差表.docx</w:t>
      </w:r>
    </w:p>
    <w:p>
      <w:pPr>
        <w:pStyle w:val="null3"/>
        <w:ind w:firstLine="960"/>
      </w:pPr>
      <w:r>
        <w:rPr>
          <w:rFonts w:ascii="仿宋_GB2312" w:hAnsi="仿宋_GB2312" w:cs="仿宋_GB2312" w:eastAsia="仿宋_GB2312"/>
        </w:rPr>
        <w:t>详见附件：功能响应情况.docx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详见附件：项目组人员.docx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详见附件：应急保障.docx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详见附件：供应商业绩一览表.docx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