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版本号：ZRD-2025XAZC55120250704001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西安市应急管理局房屋租赁项目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ZRD-2025XAZC551</w:t>
      </w:r>
      <w:r>
        <w:br/>
      </w:r>
      <w:r>
        <w:br/>
      </w:r>
      <w:r>
        <w:br/>
      </w:r>
    </w:p>
    <w:p>
      <w:pPr>
        <w:pStyle w:val="null3"/>
        <w:jc w:val="center"/>
        <w:outlineLvl w:val="5"/>
      </w:pPr>
      <w:r>
        <w:rPr>
          <w:rFonts w:ascii="仿宋_GB2312" w:hAnsi="仿宋_GB2312" w:cs="仿宋_GB2312" w:eastAsia="仿宋_GB2312"/>
          <w:sz w:val="15"/>
          <w:b/>
        </w:rPr>
        <w:t>西安市应急管理局（本级）</w:t>
      </w:r>
    </w:p>
    <w:p>
      <w:pPr>
        <w:pStyle w:val="null3"/>
        <w:jc w:val="center"/>
        <w:outlineLvl w:val="5"/>
      </w:pPr>
      <w:r>
        <w:rPr>
          <w:rFonts w:ascii="仿宋_GB2312" w:hAnsi="仿宋_GB2312" w:cs="仿宋_GB2312" w:eastAsia="仿宋_GB2312"/>
          <w:sz w:val="15"/>
          <w:b/>
        </w:rPr>
        <w:t>中瑞达项目管理有限公司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西安市应急管理局房屋租赁项目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ZRD-2025XAZC551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西安市应急管理局房屋租赁项目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依据我局职能及人数，对办公区域进行科学合理的规划和布局，提高办公效率。位置交通便利、周边配套设施完善、方便群众办事，保障各项工作的顺利开展。有利于行政单位更好地履行公共服务职能，提高服务质量和效率，树立良好的政府形象。经市机关事务服务中心研究决定，由于目前暂无合适房源，同意我局继续租赁旭辉中心2号楼7-10层（9495.72㎡），作为办公用房和技术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采购包1（西安市应急管理局房屋租赁项目）：属于专门面向中小企业采购。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 自然人提供身份证明）</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2、法定代表人授权委托书：法定代表人参加投标的，须出示身份证；法定代表人授权他人参加投标的，须提供法定代表人授权委托书、被授权人提交被授权人身份证原件；</w:t>
      </w:r>
    </w:p>
    <w:p>
      <w:pPr>
        <w:pStyle w:val="null3"/>
      </w:pPr>
      <w:r>
        <w:rPr>
          <w:rFonts w:ascii="仿宋_GB2312" w:hAnsi="仿宋_GB2312" w:cs="仿宋_GB2312" w:eastAsia="仿宋_GB2312"/>
        </w:rPr>
        <w:t>3、财务状况报告：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4、税收缴纳证明：提供投标文件截止时间前一年内至少一个月已缴纳的纳税证明或完税证明（任意税种）；依法免税的投标人应提供相关文件证明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6、书面承诺：提供具有履行本合同所必需的设备和专业技术能力的声明、参加政府采购活动前3年内在经营活动中没有重大违法记录的书面承诺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86517037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陕西省西安市经济技术开发区凤城五路与明光路十字西北角恒石国际中心B座9楼903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15236515257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采购包1：10,255,400.00元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采购包1：10,198,400.00元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 行办法》 (计价格[2002]1980号) 和(发改办价格[2003]857号) 中服务类收费收取，在领取成交通知书时向招标代理机构一次性缴纳。 代理服务费缴纳账号： 单 位 名 称：中瑞达项目管理有限公司 开户行名称：中国建设银行股份有限公司西安海璟国际支行 账 号：61050174860000000509 备 注：(项目编号）代理服务费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按照采购文件及合同约定内容等进行验收 。</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依据我局职能及人数，对办公区域进行科学合理的规划和布局，提高办公效率。位置交通便利、周边配套设施完善、方便群众办事，保障各项工作的顺利开展。有利于行政单位更好地履行公共服务职能，提高服务质量和效率，树立良好的政府形象。经市机关事务服务中心研究决定，由于目前暂无合适房源，同意我局继续租赁旭辉中心2号楼7-10层（9495.72㎡），作为办公用房和技术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10,255,400.00</w:t>
      </w:r>
    </w:p>
    <w:p>
      <w:pPr>
        <w:pStyle w:val="null3"/>
      </w:pPr>
      <w:r>
        <w:rPr>
          <w:rFonts w:ascii="仿宋_GB2312" w:hAnsi="仿宋_GB2312" w:cs="仿宋_GB2312" w:eastAsia="仿宋_GB2312"/>
        </w:rPr>
        <w:t>采购包最高限价（元）: 10,198,400.00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西安市应急管理局房屋租赁项目 </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10,255,400.00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标的名称：西安市应急管理局房屋租赁项目 </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出租房屋位于“陕西省西安市经济技术开发区未央路以西、凤城</w:t>
            </w:r>
            <w:r>
              <w:rPr>
                <w:rFonts w:ascii="仿宋_GB2312" w:hAnsi="仿宋_GB2312" w:cs="仿宋_GB2312" w:eastAsia="仿宋_GB2312"/>
                <w:sz w:val="28"/>
              </w:rPr>
              <w:t>7</w:t>
            </w:r>
            <w:r>
              <w:rPr>
                <w:rFonts w:ascii="仿宋_GB2312" w:hAnsi="仿宋_GB2312" w:cs="仿宋_GB2312" w:eastAsia="仿宋_GB2312"/>
                <w:sz w:val="28"/>
              </w:rPr>
              <w:t>路以北、荣华国际商务中心项目</w:t>
            </w:r>
            <w:r>
              <w:rPr>
                <w:rFonts w:ascii="仿宋_GB2312" w:hAnsi="仿宋_GB2312" w:cs="仿宋_GB2312" w:eastAsia="仿宋_GB2312"/>
                <w:sz w:val="28"/>
              </w:rPr>
              <w:t>2</w:t>
            </w:r>
            <w:r>
              <w:rPr>
                <w:rFonts w:ascii="仿宋_GB2312" w:hAnsi="仿宋_GB2312" w:cs="仿宋_GB2312" w:eastAsia="仿宋_GB2312"/>
                <w:sz w:val="28"/>
              </w:rPr>
              <w:t>号楼</w:t>
            </w:r>
            <w:r>
              <w:rPr>
                <w:rFonts w:ascii="仿宋_GB2312" w:hAnsi="仿宋_GB2312" w:cs="仿宋_GB2312" w:eastAsia="仿宋_GB2312"/>
                <w:sz w:val="28"/>
              </w:rPr>
              <w:t>7</w:t>
            </w:r>
            <w:r>
              <w:rPr>
                <w:rFonts w:ascii="仿宋_GB2312" w:hAnsi="仿宋_GB2312" w:cs="仿宋_GB2312" w:eastAsia="仿宋_GB2312"/>
                <w:sz w:val="28"/>
              </w:rPr>
              <w:t>层、</w:t>
            </w:r>
            <w:r>
              <w:rPr>
                <w:rFonts w:ascii="仿宋_GB2312" w:hAnsi="仿宋_GB2312" w:cs="仿宋_GB2312" w:eastAsia="仿宋_GB2312"/>
                <w:sz w:val="28"/>
              </w:rPr>
              <w:t>8</w:t>
            </w:r>
            <w:r>
              <w:rPr>
                <w:rFonts w:ascii="仿宋_GB2312" w:hAnsi="仿宋_GB2312" w:cs="仿宋_GB2312" w:eastAsia="仿宋_GB2312"/>
                <w:sz w:val="28"/>
              </w:rPr>
              <w:t>层、</w:t>
            </w:r>
            <w:r>
              <w:rPr>
                <w:rFonts w:ascii="仿宋_GB2312" w:hAnsi="仿宋_GB2312" w:cs="仿宋_GB2312" w:eastAsia="仿宋_GB2312"/>
                <w:sz w:val="28"/>
              </w:rPr>
              <w:t>9</w:t>
            </w:r>
            <w:r>
              <w:rPr>
                <w:rFonts w:ascii="仿宋_GB2312" w:hAnsi="仿宋_GB2312" w:cs="仿宋_GB2312" w:eastAsia="仿宋_GB2312"/>
                <w:sz w:val="28"/>
              </w:rPr>
              <w:t>层、</w:t>
            </w:r>
            <w:r>
              <w:rPr>
                <w:rFonts w:ascii="仿宋_GB2312" w:hAnsi="仿宋_GB2312" w:cs="仿宋_GB2312" w:eastAsia="仿宋_GB2312"/>
                <w:sz w:val="28"/>
              </w:rPr>
              <w:t>10</w:t>
            </w:r>
            <w:r>
              <w:rPr>
                <w:rFonts w:ascii="仿宋_GB2312" w:hAnsi="仿宋_GB2312" w:cs="仿宋_GB2312" w:eastAsia="仿宋_GB2312"/>
                <w:sz w:val="28"/>
              </w:rPr>
              <w:t>层，房屋面积合计</w:t>
            </w:r>
            <w:r>
              <w:rPr>
                <w:rFonts w:ascii="仿宋_GB2312" w:hAnsi="仿宋_GB2312" w:cs="仿宋_GB2312" w:eastAsia="仿宋_GB2312"/>
                <w:sz w:val="28"/>
              </w:rPr>
              <w:t>9495.72</w:t>
            </w:r>
            <w:r>
              <w:rPr>
                <w:rFonts w:ascii="仿宋_GB2312" w:hAnsi="仿宋_GB2312" w:cs="仿宋_GB2312" w:eastAsia="仿宋_GB2312"/>
                <w:sz w:val="28"/>
              </w:rPr>
              <w:t>平方米作为办公用房和技术用房使用。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rPr>
              <w:t>出租方提供户内已装修的地板、墙面、门窗、灯具、热水器等设施使用过程中的维修服务</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rPr>
              <w:t>出租方承担房屋主体结构、用水主管道、取暖设备、电力设施的维修费用</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rPr>
              <w:t>出租方保持该办公楼的屋顶、主要结构、墙壁、主要供水管通道及</w:t>
            </w:r>
            <w:r>
              <w:rPr>
                <w:rFonts w:ascii="仿宋_GB2312" w:hAnsi="仿宋_GB2312" w:cs="仿宋_GB2312" w:eastAsia="仿宋_GB2312"/>
                <w:sz w:val="28"/>
              </w:rPr>
              <w:t>电</w:t>
            </w:r>
            <w:r>
              <w:rPr>
                <w:rFonts w:ascii="仿宋_GB2312" w:hAnsi="仿宋_GB2312" w:cs="仿宋_GB2312" w:eastAsia="仿宋_GB2312"/>
                <w:sz w:val="28"/>
              </w:rPr>
              <w:t>缆电线</w:t>
            </w:r>
            <w:r>
              <w:rPr>
                <w:rFonts w:ascii="仿宋_GB2312" w:hAnsi="仿宋_GB2312" w:cs="仿宋_GB2312" w:eastAsia="仿宋_GB2312"/>
                <w:sz w:val="28"/>
              </w:rPr>
              <w:t>的</w:t>
            </w:r>
            <w:r>
              <w:rPr>
                <w:rFonts w:ascii="仿宋_GB2312" w:hAnsi="仿宋_GB2312" w:cs="仿宋_GB2312" w:eastAsia="仿宋_GB2312"/>
                <w:sz w:val="28"/>
              </w:rPr>
              <w:t>状态良好，公共区域清洁，升降电梯、消防、火警监测系统、保安设备、空调设施及其他设备稳妥运行</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rPr>
              <w:t>出租方需每年对大楼外立面进行清洗</w:t>
            </w:r>
            <w:r>
              <w:rPr>
                <w:rFonts w:ascii="仿宋_GB2312" w:hAnsi="仿宋_GB2312" w:cs="仿宋_GB2312" w:eastAsia="仿宋_GB2312"/>
                <w:sz w:val="28"/>
              </w:rPr>
              <w:t>,</w:t>
            </w:r>
            <w:r>
              <w:rPr>
                <w:rFonts w:ascii="仿宋_GB2312" w:hAnsi="仿宋_GB2312" w:cs="仿宋_GB2312" w:eastAsia="仿宋_GB2312"/>
                <w:sz w:val="28"/>
              </w:rPr>
              <w:t>并邀请第三方专业机构对大楼的设施设备及消防系统进行安全排查，并针对排查发现问题及时进行施工整改</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rPr>
              <w:t>如因房屋有严重的质量问题或法律权属上的瑕疵，影响正常使用，承租方有权直接解除合同</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rPr>
              <w:t>因出租方提供的房屋及屋内设备、设施质量问题不符合建筑、消防、治安、卫生等方面的安全条件，危及人身安全，造成承租方工作人员及第三人损伤的，出租方承担全部赔偿责任。除此之外出租方应当承担由此对承租方造成的全部经济损失。</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甲方：采购人，乙方：供应商</w:t>
            </w:r>
          </w:p>
          <w:p>
            <w:pPr>
              <w:pStyle w:val="null3"/>
            </w:pPr>
            <w:r>
              <w:rPr>
                <w:rFonts w:ascii="仿宋_GB2312" w:hAnsi="仿宋_GB2312" w:cs="仿宋_GB2312" w:eastAsia="仿宋_GB2312"/>
              </w:rPr>
              <w:t>甲乙双方协商一致同意，本合同履行期间，若甲方因工作安排调整办公地点，搬离【旭辉中心2号楼7-10层】,甲方将提前90天采取书面形式通知乙方，本合同服务截止时间最终确定为甲方通知搬离日期，乙方保证无条件配合解除本合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按“技术参数与性能指标”中实际需求配备相关设备设施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2025年10月1日起至2026年9月30日止。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西安市凤城七路旭辉中心2号楼7-10层。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签订合同，2025年10月1日-2025年12月31日服务款项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2026年1月 -2026年9月服务款项于2026年市财政预算下达并经局党委会研究审议后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67.50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合同期满待验收合格后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按照采购文件及合同约定内容甲方自行组织验收。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 递交文件地点：陕西省西安市经济技术开发区凤城五路与明光路十字西北角恒石国际中心B座9楼903 3.以上“3.3.4支付约定”为系统固定格式无法修改，实际支付方式为：①本合同签订之日起15个工作日内，甲方按合同条款支付2025年10月1日-2025年12月31日服务款项的100%。②甲方在2026年市财政预算下达并经局党委会研究审议后30个工作日内，支付2026年1月-2026年9月服务款项的90%。③合同期满待验收合格后，甲方支付2026年1月-2026年9月剩余服务款项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谈判供应商承诺书.docx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 自然人提供身份证明）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法定代表人参加投标的，须出示身份证；法定代表人授权他人参加投标的，须提供法定代表人授权委托书、被授权人提交被授权人身份证原件；</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提供投标文件截止时间前一年内至少一个月已缴纳的纳税证明或完税证明（任意税种）；依法免税的投标人应提供相关文件证明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提供具有履行本合同所必需的设备和专业技术能力的声明、参加政府采购活动前3年内在经营活动中没有重大违法记录的书面承诺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 谈判供应商承诺书.docx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据招标文件规定，从投标文件的有效性、完整性和对招标文件的响应程度进行审查。出现下列情况之一者（但不限于），不得进入最终报价环节：（1）响应文件是否按招标文件要求的数量、语言、计量单位、报价货币及签字盖章；（2）无投标有效期或有效期达不到招标文件要求的；（3）投标文件附加了采购人难以接受的条件或条款的；</w:t>
            </w:r>
          </w:p>
        </w:tc>
        <w:tc>
          <w:tcPr>
            <w:tcW w:type="dxa" w:w="1661"/>
          </w:tcPr>
          <w:p>
            <w:pPr>
              <w:pStyle w:val="null3"/>
            </w:pPr>
            <w:r>
              <w:rPr>
                <w:rFonts w:ascii="仿宋_GB2312" w:hAnsi="仿宋_GB2312" w:cs="仿宋_GB2312" w:eastAsia="仿宋_GB2312"/>
              </w:rPr>
              <w:t>服务内容及服务邀请应答表 商务应答表 对谈判文件及合同条款的承诺.docx 服务方案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详见附件：对谈判文件及合同条款的承诺.docx</w:t>
      </w:r>
    </w:p>
    <w:p>
      <w:pPr>
        <w:pStyle w:val="null3"/>
        <w:ind w:firstLine="960"/>
      </w:pPr>
      <w:r>
        <w:rPr>
          <w:rFonts w:ascii="仿宋_GB2312" w:hAnsi="仿宋_GB2312" w:cs="仿宋_GB2312" w:eastAsia="仿宋_GB2312"/>
        </w:rPr>
        <w:t>详见附件：谈判供应商承诺书.docx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