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版本号：SXDZ2025-ZC-CS02020250704001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耕地质量调查监测土壤样品采集制备与检测项目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SXDZ2025-ZC-CS020</w:t>
      </w:r>
      <w:r>
        <w:br/>
      </w:r>
      <w:r>
        <w:br/>
      </w:r>
      <w:r>
        <w:br/>
      </w:r>
    </w:p>
    <w:p>
      <w:pPr>
        <w:pStyle w:val="null3"/>
        <w:jc w:val="center"/>
        <w:outlineLvl w:val="2"/>
      </w:pPr>
      <w:r>
        <w:rPr>
          <w:rFonts w:ascii="仿宋_GB2312" w:hAnsi="仿宋_GB2312" w:cs="仿宋_GB2312" w:eastAsia="仿宋_GB2312"/>
          <w:sz w:val="28"/>
          <w:b/>
        </w:rPr>
        <w:t>西安市农业农村局（本级）</w:t>
      </w:r>
    </w:p>
    <w:p>
      <w:pPr>
        <w:pStyle w:val="null3"/>
        <w:jc w:val="center"/>
        <w:outlineLvl w:val="2"/>
      </w:pPr>
      <w:r>
        <w:rPr>
          <w:rFonts w:ascii="仿宋_GB2312" w:hAnsi="仿宋_GB2312" w:cs="仿宋_GB2312" w:eastAsia="仿宋_GB2312"/>
          <w:sz w:val="28"/>
          <w:b/>
        </w:rPr>
        <w:t>陕西东卓项目管理有限公司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2025年07月07日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陕西东卓项目管理有限公司</w:t>
      </w:r>
      <w:r>
        <w:rPr>
          <w:rFonts w:ascii="仿宋_GB2312" w:hAnsi="仿宋_GB2312" w:cs="仿宋_GB2312" w:eastAsia="仿宋_GB2312"/>
        </w:rPr>
        <w:t>（以下简称“代理机构”）受</w:t>
      </w:r>
      <w:r>
        <w:rPr>
          <w:rFonts w:ascii="仿宋_GB2312" w:hAnsi="仿宋_GB2312" w:cs="仿宋_GB2312" w:eastAsia="仿宋_GB2312"/>
        </w:rPr>
        <w:t>西安市农业农村局（本级）</w:t>
      </w:r>
      <w:r>
        <w:rPr>
          <w:rFonts w:ascii="仿宋_GB2312" w:hAnsi="仿宋_GB2312" w:cs="仿宋_GB2312" w:eastAsia="仿宋_GB2312"/>
        </w:rPr>
        <w:t>委托，拟对</w:t>
      </w:r>
      <w:r>
        <w:rPr>
          <w:rFonts w:ascii="仿宋_GB2312" w:hAnsi="仿宋_GB2312" w:cs="仿宋_GB2312" w:eastAsia="仿宋_GB2312"/>
        </w:rPr>
        <w:t>耕地质量调查监测土壤样品采集制备与检测项目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SXDZ2025-ZC-CS020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耕地质量调查监测土壤样品采集制备与检测项目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为确保耕地保护和粮食安全责任制考核、自然资源资产负债表编制和占补平衡政策调整等相关工作任务高质量落实，按照省农业农村厅办公室关于印发《陕西省耕地质量等级变更调查评价工作方案》的通知要求，每年在全市以县域为单位，开展耕地质量调查监测点位采样、制备及分析检测，为进行耕地质量等级变更调查评价提供基础数据支持。</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采购包1（耕地质量调查监测土壤样品采集制备与检测项目）：属于专门面向中小企业采购。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1、主体证明文件：具有独立承担民事责任能力的法人、其他组织或自然人，并出具合法有效的营业执照或事业单位法人证书等国家规定的相关证明，自然人参与的提供其身份证明书。</w:t>
      </w:r>
    </w:p>
    <w:p>
      <w:pPr>
        <w:pStyle w:val="null3"/>
      </w:pPr>
      <w:r>
        <w:rPr>
          <w:rFonts w:ascii="仿宋_GB2312" w:hAnsi="仿宋_GB2312" w:cs="仿宋_GB2312" w:eastAsia="仿宋_GB2312"/>
        </w:rPr>
        <w:t>2、资格证书：具备合法有效的CMA检验检测机构资质认定证书。</w:t>
      </w:r>
    </w:p>
    <w:p>
      <w:pPr>
        <w:pStyle w:val="null3"/>
      </w:pPr>
      <w:r>
        <w:rPr>
          <w:rFonts w:ascii="仿宋_GB2312" w:hAnsi="仿宋_GB2312" w:cs="仿宋_GB2312" w:eastAsia="仿宋_GB2312"/>
        </w:rPr>
        <w:t>3、法定代表人身份证明/法定代表人授权委托书：法定代表人参加磋商的，须出具法定代表人身份证明书及身份证。法定代表人授权委托人参加磋商的，须出具法定代表人授权委托书及授权委托人身份证。</w:t>
      </w:r>
    </w:p>
    <w:p>
      <w:pPr>
        <w:pStyle w:val="null3"/>
      </w:pPr>
      <w:r>
        <w:rPr>
          <w:rFonts w:ascii="仿宋_GB2312" w:hAnsi="仿宋_GB2312" w:cs="仿宋_GB2312" w:eastAsia="仿宋_GB2312"/>
        </w:rPr>
        <w:t>4、财务状况：提供2023年度或2024年度经审计的财务报告（成立时间至响应文件递交截止时间不足一年的可提供成立后任意时段的资产负债表），或提供响应文递交截止日前三个月内其基本存款账户开户银行出具的资信证明；</w:t>
      </w:r>
    </w:p>
    <w:p>
      <w:pPr>
        <w:pStyle w:val="null3"/>
      </w:pPr>
      <w:r>
        <w:rPr>
          <w:rFonts w:ascii="仿宋_GB2312" w:hAnsi="仿宋_GB2312" w:cs="仿宋_GB2312" w:eastAsia="仿宋_GB2312"/>
        </w:rPr>
        <w:t>5、依法缴纳税收的证明：提供递交响应文件截止之日前一年内任意一个月的依法缴纳税收的相关凭据（时间以税款所属日期为准），依法免税或无须缴纳税收的供应商，应提供相应证明文件。</w:t>
      </w:r>
    </w:p>
    <w:p>
      <w:pPr>
        <w:pStyle w:val="null3"/>
      </w:pPr>
      <w:r>
        <w:rPr>
          <w:rFonts w:ascii="仿宋_GB2312" w:hAnsi="仿宋_GB2312" w:cs="仿宋_GB2312" w:eastAsia="仿宋_GB2312"/>
        </w:rPr>
        <w:t>6、依法缴纳社保的证明：提供递交响应文件截止之日前一年内任意一个月的社会保障资金缴纳证明，依法不需要缴纳社会保障资金的供应商应提供相关文件证明。</w:t>
      </w:r>
    </w:p>
    <w:p>
      <w:pPr>
        <w:pStyle w:val="null3"/>
      </w:pPr>
      <w:r>
        <w:rPr>
          <w:rFonts w:ascii="仿宋_GB2312" w:hAnsi="仿宋_GB2312" w:cs="仿宋_GB2312" w:eastAsia="仿宋_GB2312"/>
        </w:rPr>
        <w:t>7、无重大违法记录的声明：参加政府采购活动前3年内在经营活动中没有重大违法记录的书面声明。</w:t>
      </w:r>
    </w:p>
    <w:p>
      <w:pPr>
        <w:pStyle w:val="null3"/>
      </w:pPr>
      <w:r>
        <w:rPr>
          <w:rFonts w:ascii="仿宋_GB2312" w:hAnsi="仿宋_GB2312" w:cs="仿宋_GB2312" w:eastAsia="仿宋_GB2312"/>
        </w:rPr>
        <w:t>8、具备履行合同所必需的设备和专业技术能力的证明材料：供应商需在项目电子化交易系统中提供具备履行合同所必需的设备和专业技术能力的承诺并进行电子签章</w:t>
      </w:r>
    </w:p>
    <w:p>
      <w:pPr>
        <w:pStyle w:val="null3"/>
      </w:pPr>
      <w:r>
        <w:rPr>
          <w:rFonts w:ascii="仿宋_GB2312" w:hAnsi="仿宋_GB2312" w:cs="仿宋_GB2312" w:eastAsia="仿宋_GB2312"/>
        </w:rPr>
        <w:t>9、信用记录审查：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p>
      <w:pPr>
        <w:pStyle w:val="null3"/>
      </w:pPr>
      <w:r>
        <w:rPr>
          <w:rFonts w:ascii="仿宋_GB2312" w:hAnsi="仿宋_GB2312" w:cs="仿宋_GB2312" w:eastAsia="仿宋_GB2312"/>
        </w:rPr>
        <w:t>10、本项目不接受联合体投标：本项目不接受联合体磋商；（提供书面承诺，加盖供应商公章）。</w:t>
      </w:r>
    </w:p>
    <w:p>
      <w:pPr>
        <w:pStyle w:val="null3"/>
      </w:pPr>
      <w:r>
        <w:rPr>
          <w:rFonts w:ascii="仿宋_GB2312" w:hAnsi="仿宋_GB2312" w:cs="仿宋_GB2312" w:eastAsia="仿宋_GB2312"/>
        </w:rPr>
        <w:t>11、控股、管理关系：单位负责人为同一人或者存在直接控股、管理关系的不同供应商，不得同时参加本采购项目投标；（提供书面承诺，加盖供应商公章）。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西安市农业农村局（本级）</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西安市未央区凤城八路109号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710007</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侯先生</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029-86787471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陕西东卓项目管理有限公司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西安市莲湖区御笔华庭城市广场3号楼408</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冯工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029-86637322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西安市财政局政府采购管理处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杜新星</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029-89821846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采购包1：330,000.00元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 xml:space="preserve"> / </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 xml:space="preserve"> / </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以成交金额为基数，参照国家计委颁发的《招标代理服务收费管理暂行办法》（计价格[2002]1980号）和国家发展改革委员会办公厅颁发的《关于招标代理服务收费有关问题的通知》（发改办价格[2003]857号）的有关规定执行。（单个项目按照标准收取不足8000元的，按8000元计取）。缴纳账户如下：户名：：陕西东卓项目管理有限公司 开户银行：中国银行股份有限公司西安市经济技术开发区支行 账 号：102494375315 转账事由：（项目名称）</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西安市农业农村局（本级）</w:t>
      </w:r>
      <w:r>
        <w:rPr>
          <w:rFonts w:ascii="仿宋_GB2312" w:hAnsi="仿宋_GB2312" w:cs="仿宋_GB2312" w:eastAsia="仿宋_GB2312"/>
        </w:rPr>
        <w:t>和</w:t>
      </w:r>
      <w:r>
        <w:rPr>
          <w:rFonts w:ascii="仿宋_GB2312" w:hAnsi="仿宋_GB2312" w:cs="仿宋_GB2312" w:eastAsia="仿宋_GB2312"/>
        </w:rPr>
        <w:t>陕西东卓项目管理有限公司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西安市农业农村局（本级）</w:t>
      </w:r>
      <w:r>
        <w:rPr>
          <w:rFonts w:ascii="仿宋_GB2312" w:hAnsi="仿宋_GB2312" w:cs="仿宋_GB2312" w:eastAsia="仿宋_GB2312"/>
        </w:rPr>
        <w:t>负责解释。除上述磋商文件内容，其他内容由</w:t>
      </w:r>
      <w:r>
        <w:rPr>
          <w:rFonts w:ascii="仿宋_GB2312" w:hAnsi="仿宋_GB2312" w:cs="仿宋_GB2312" w:eastAsia="仿宋_GB2312"/>
        </w:rPr>
        <w:t>陕西东卓项目管理有限公司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西安市农业农村局（本级）</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陕西东卓项目管理有限公司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陕西东卓项目管理有限公司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联系人：冯工</w:t>
      </w:r>
    </w:p>
    <w:p>
      <w:pPr>
        <w:pStyle w:val="null3"/>
      </w:pPr>
      <w:r>
        <w:rPr>
          <w:rFonts w:ascii="仿宋_GB2312" w:hAnsi="仿宋_GB2312" w:cs="仿宋_GB2312" w:eastAsia="仿宋_GB2312"/>
        </w:rPr>
        <w:t>联系电话：029-86637322</w:t>
      </w:r>
    </w:p>
    <w:p>
      <w:pPr>
        <w:pStyle w:val="null3"/>
      </w:pPr>
      <w:r>
        <w:rPr>
          <w:rFonts w:ascii="仿宋_GB2312" w:hAnsi="仿宋_GB2312" w:cs="仿宋_GB2312" w:eastAsia="仿宋_GB2312"/>
        </w:rPr>
        <w:t>地址：西安市莲湖区御笔华庭城市广场3号楼408</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sz w:val="21"/>
        </w:rPr>
        <w:t>为确保耕地保护和粮食安全责任制考核、自然资源资产负债表编制和占补平衡政策调整等相关工作任务高质量落实，按照省农业农村厅办公室关于印发《陕西省耕地质量等级变更调查评价工作方案》的通知要求，每年在全市以县域为单位，开展耕地质量调查监测点位采样、制备及分析检测，为进行耕地质量等级变更调查评价提供基础数据支持。</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330,000.00</w:t>
      </w:r>
    </w:p>
    <w:p>
      <w:pPr>
        <w:pStyle w:val="null3"/>
      </w:pPr>
      <w:r>
        <w:rPr>
          <w:rFonts w:ascii="仿宋_GB2312" w:hAnsi="仿宋_GB2312" w:cs="仿宋_GB2312" w:eastAsia="仿宋_GB2312"/>
        </w:rPr>
        <w:t>采购包最高限价（元）: 330,000.00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耕地质量调查监测土壤样品采集制备与检测</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330,000.00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标的名称：耕地质量调查监测土壤样品采集制备与检测</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45"/>
              <w:ind w:right="285" w:firstLine="660"/>
            </w:pPr>
            <w:r>
              <w:rPr>
                <w:rFonts w:ascii="仿宋_GB2312" w:hAnsi="仿宋_GB2312" w:cs="仿宋_GB2312" w:eastAsia="仿宋_GB2312"/>
                <w:sz w:val="21"/>
                <w:b/>
              </w:rPr>
              <w:t>一、项目概况</w:t>
            </w:r>
          </w:p>
          <w:p>
            <w:pPr>
              <w:pStyle w:val="null3"/>
              <w:ind w:firstLine="420"/>
              <w:jc w:val="both"/>
            </w:pPr>
            <w:r>
              <w:rPr>
                <w:rFonts w:ascii="仿宋_GB2312" w:hAnsi="仿宋_GB2312" w:cs="仿宋_GB2312" w:eastAsia="仿宋_GB2312"/>
                <w:sz w:val="21"/>
              </w:rPr>
              <w:t>为确保耕地保护和粮食安全责任制考核、自然资源资产负债表编制和占补平衡政策调整等相关工作任务高质量落实，按照省农业农村厅办公室关于印发《陕西省耕地质量等级变更调查评价工作方案》的通知要求，每年在全市以县域为单位，开展耕地质量调查监测点位采样、制备及分析检测，为进行耕地质量等级变更调查评价提供基础数据支持。</w:t>
            </w:r>
          </w:p>
          <w:p>
            <w:pPr>
              <w:pStyle w:val="null3"/>
              <w:spacing w:before="45"/>
              <w:ind w:right="285" w:firstLine="660"/>
            </w:pPr>
            <w:r>
              <w:rPr>
                <w:rFonts w:ascii="仿宋_GB2312" w:hAnsi="仿宋_GB2312" w:cs="仿宋_GB2312" w:eastAsia="仿宋_GB2312"/>
                <w:sz w:val="21"/>
                <w:b/>
              </w:rPr>
              <w:t>二、服务内容</w:t>
            </w:r>
          </w:p>
          <w:p>
            <w:pPr>
              <w:pStyle w:val="null3"/>
              <w:ind w:firstLine="420"/>
              <w:jc w:val="both"/>
            </w:pPr>
            <w:r>
              <w:rPr>
                <w:rFonts w:ascii="仿宋_GB2312" w:hAnsi="仿宋_GB2312" w:cs="仿宋_GB2312" w:eastAsia="仿宋_GB2312"/>
                <w:sz w:val="21"/>
              </w:rPr>
              <w:t>主要委托第三方承担在全市灞桥区、阎良区、高陵区、长安区、临潼区、鄠邑区、蓝田县、周至县、未央区等</w:t>
            </w:r>
            <w:r>
              <w:rPr>
                <w:rFonts w:ascii="仿宋_GB2312" w:hAnsi="仿宋_GB2312" w:cs="仿宋_GB2312" w:eastAsia="仿宋_GB2312"/>
                <w:sz w:val="21"/>
              </w:rPr>
              <w:t>9</w:t>
            </w:r>
            <w:r>
              <w:rPr>
                <w:rFonts w:ascii="仿宋_GB2312" w:hAnsi="仿宋_GB2312" w:cs="仿宋_GB2312" w:eastAsia="仿宋_GB2312"/>
                <w:sz w:val="21"/>
              </w:rPr>
              <w:t>个区县，以县域为单位，根据不同类型布设调查与采样点位。布点原则为常规利用区每</w:t>
            </w:r>
            <w:r>
              <w:rPr>
                <w:rFonts w:ascii="仿宋_GB2312" w:hAnsi="仿宋_GB2312" w:cs="仿宋_GB2312" w:eastAsia="仿宋_GB2312"/>
                <w:sz w:val="21"/>
              </w:rPr>
              <w:t>10000</w:t>
            </w:r>
            <w:r>
              <w:rPr>
                <w:rFonts w:ascii="仿宋_GB2312" w:hAnsi="仿宋_GB2312" w:cs="仿宋_GB2312" w:eastAsia="仿宋_GB2312"/>
                <w:sz w:val="21"/>
              </w:rPr>
              <w:t>亩耕地不少于</w:t>
            </w:r>
            <w:r>
              <w:rPr>
                <w:rFonts w:ascii="仿宋_GB2312" w:hAnsi="仿宋_GB2312" w:cs="仿宋_GB2312" w:eastAsia="仿宋_GB2312"/>
                <w:sz w:val="21"/>
              </w:rPr>
              <w:t>1</w:t>
            </w:r>
            <w:r>
              <w:rPr>
                <w:rFonts w:ascii="仿宋_GB2312" w:hAnsi="仿宋_GB2312" w:cs="仿宋_GB2312" w:eastAsia="仿宋_GB2312"/>
                <w:sz w:val="21"/>
              </w:rPr>
              <w:t>个点；质量建设区和耕地占补区每</w:t>
            </w:r>
            <w:r>
              <w:rPr>
                <w:rFonts w:ascii="仿宋_GB2312" w:hAnsi="仿宋_GB2312" w:cs="仿宋_GB2312" w:eastAsia="仿宋_GB2312"/>
                <w:sz w:val="21"/>
              </w:rPr>
              <w:t>1000</w:t>
            </w:r>
            <w:r>
              <w:rPr>
                <w:rFonts w:ascii="仿宋_GB2312" w:hAnsi="仿宋_GB2312" w:cs="仿宋_GB2312" w:eastAsia="仿宋_GB2312"/>
                <w:sz w:val="21"/>
              </w:rPr>
              <w:t>亩耕地不少于</w:t>
            </w:r>
            <w:r>
              <w:rPr>
                <w:rFonts w:ascii="仿宋_GB2312" w:hAnsi="仿宋_GB2312" w:cs="仿宋_GB2312" w:eastAsia="仿宋_GB2312"/>
                <w:sz w:val="21"/>
              </w:rPr>
              <w:t>1</w:t>
            </w:r>
            <w:r>
              <w:rPr>
                <w:rFonts w:ascii="仿宋_GB2312" w:hAnsi="仿宋_GB2312" w:cs="仿宋_GB2312" w:eastAsia="仿宋_GB2312"/>
                <w:sz w:val="21"/>
              </w:rPr>
              <w:t>个点；损毁破坏区每</w:t>
            </w:r>
            <w:r>
              <w:rPr>
                <w:rFonts w:ascii="仿宋_GB2312" w:hAnsi="仿宋_GB2312" w:cs="仿宋_GB2312" w:eastAsia="仿宋_GB2312"/>
                <w:sz w:val="21"/>
              </w:rPr>
              <w:t>200</w:t>
            </w:r>
            <w:r>
              <w:rPr>
                <w:rFonts w:ascii="仿宋_GB2312" w:hAnsi="仿宋_GB2312" w:cs="仿宋_GB2312" w:eastAsia="仿宋_GB2312"/>
                <w:sz w:val="21"/>
              </w:rPr>
              <w:t>亩耕地不少于</w:t>
            </w:r>
            <w:r>
              <w:rPr>
                <w:rFonts w:ascii="仿宋_GB2312" w:hAnsi="仿宋_GB2312" w:cs="仿宋_GB2312" w:eastAsia="仿宋_GB2312"/>
                <w:sz w:val="21"/>
              </w:rPr>
              <w:t>1</w:t>
            </w:r>
            <w:r>
              <w:rPr>
                <w:rFonts w:ascii="仿宋_GB2312" w:hAnsi="仿宋_GB2312" w:cs="仿宋_GB2312" w:eastAsia="仿宋_GB2312"/>
                <w:sz w:val="21"/>
              </w:rPr>
              <w:t>个点。以县域为单位，每年开展</w:t>
            </w:r>
            <w:r>
              <w:rPr>
                <w:rFonts w:ascii="仿宋_GB2312" w:hAnsi="仿宋_GB2312" w:cs="仿宋_GB2312" w:eastAsia="仿宋_GB2312"/>
                <w:sz w:val="21"/>
              </w:rPr>
              <w:t>1</w:t>
            </w:r>
            <w:r>
              <w:rPr>
                <w:rFonts w:ascii="仿宋_GB2312" w:hAnsi="仿宋_GB2312" w:cs="仿宋_GB2312" w:eastAsia="仿宋_GB2312"/>
                <w:sz w:val="21"/>
              </w:rPr>
              <w:t>次调查采样及分析检测工作。</w:t>
            </w:r>
          </w:p>
          <w:p>
            <w:pPr>
              <w:pStyle w:val="null3"/>
              <w:spacing w:before="45"/>
              <w:ind w:right="285" w:firstLine="660"/>
            </w:pPr>
            <w:r>
              <w:rPr>
                <w:rFonts w:ascii="仿宋_GB2312" w:hAnsi="仿宋_GB2312" w:cs="仿宋_GB2312" w:eastAsia="仿宋_GB2312"/>
                <w:sz w:val="21"/>
                <w:b/>
              </w:rPr>
              <w:t>三、服务要求</w:t>
            </w:r>
          </w:p>
          <w:p>
            <w:pPr>
              <w:pStyle w:val="null3"/>
              <w:ind w:firstLine="420"/>
              <w:jc w:val="both"/>
            </w:pPr>
            <w:r>
              <w:rPr>
                <w:rFonts w:ascii="仿宋_GB2312" w:hAnsi="仿宋_GB2312" w:cs="仿宋_GB2312" w:eastAsia="仿宋_GB2312"/>
                <w:sz w:val="21"/>
              </w:rPr>
              <w:t>在全市灞桥区、阎良区、高陵区、长安区、临潼区、鄠邑区、蓝田县、周至县、未央区等</w:t>
            </w:r>
            <w:r>
              <w:rPr>
                <w:rFonts w:ascii="仿宋_GB2312" w:hAnsi="仿宋_GB2312" w:cs="仿宋_GB2312" w:eastAsia="仿宋_GB2312"/>
                <w:sz w:val="21"/>
              </w:rPr>
              <w:t>9</w:t>
            </w:r>
            <w:r>
              <w:rPr>
                <w:rFonts w:ascii="仿宋_GB2312" w:hAnsi="仿宋_GB2312" w:cs="仿宋_GB2312" w:eastAsia="仿宋_GB2312"/>
                <w:sz w:val="21"/>
              </w:rPr>
              <w:t>个区县，以县域为单位，将全县区域内耕地分为常规利用区、质量建设区、耕地占补区和损毁破坏区</w:t>
            </w:r>
            <w:r>
              <w:rPr>
                <w:rFonts w:ascii="仿宋_GB2312" w:hAnsi="仿宋_GB2312" w:cs="仿宋_GB2312" w:eastAsia="仿宋_GB2312"/>
                <w:sz w:val="21"/>
              </w:rPr>
              <w:t>4</w:t>
            </w:r>
            <w:r>
              <w:rPr>
                <w:rFonts w:ascii="仿宋_GB2312" w:hAnsi="仿宋_GB2312" w:cs="仿宋_GB2312" w:eastAsia="仿宋_GB2312"/>
                <w:sz w:val="21"/>
              </w:rPr>
              <w:t>种类型，根据不同类型布设调查与采样点位。点位的多少取决于调查区域的大小、调查区域内土壤类型及地形的复杂程度等因素，调查点与采样点的位置必须一一对应。</w:t>
            </w:r>
          </w:p>
          <w:p>
            <w:pPr>
              <w:pStyle w:val="null3"/>
              <w:ind w:firstLine="420"/>
              <w:jc w:val="both"/>
            </w:pPr>
            <w:r>
              <w:rPr>
                <w:rFonts w:ascii="仿宋_GB2312" w:hAnsi="仿宋_GB2312" w:cs="仿宋_GB2312" w:eastAsia="仿宋_GB2312"/>
                <w:sz w:val="21"/>
              </w:rPr>
              <w:t>布点原则为常规利用区每</w:t>
            </w:r>
            <w:r>
              <w:rPr>
                <w:rFonts w:ascii="仿宋_GB2312" w:hAnsi="仿宋_GB2312" w:cs="仿宋_GB2312" w:eastAsia="仿宋_GB2312"/>
                <w:sz w:val="21"/>
              </w:rPr>
              <w:t>10000</w:t>
            </w:r>
            <w:r>
              <w:rPr>
                <w:rFonts w:ascii="仿宋_GB2312" w:hAnsi="仿宋_GB2312" w:cs="仿宋_GB2312" w:eastAsia="仿宋_GB2312"/>
                <w:sz w:val="21"/>
              </w:rPr>
              <w:t>亩耕地不少于</w:t>
            </w:r>
            <w:r>
              <w:rPr>
                <w:rFonts w:ascii="仿宋_GB2312" w:hAnsi="仿宋_GB2312" w:cs="仿宋_GB2312" w:eastAsia="仿宋_GB2312"/>
                <w:sz w:val="21"/>
              </w:rPr>
              <w:t>1</w:t>
            </w:r>
            <w:r>
              <w:rPr>
                <w:rFonts w:ascii="仿宋_GB2312" w:hAnsi="仿宋_GB2312" w:cs="仿宋_GB2312" w:eastAsia="仿宋_GB2312"/>
                <w:sz w:val="21"/>
              </w:rPr>
              <w:t>个点；质量建设区和耕地占补区每</w:t>
            </w:r>
            <w:r>
              <w:rPr>
                <w:rFonts w:ascii="仿宋_GB2312" w:hAnsi="仿宋_GB2312" w:cs="仿宋_GB2312" w:eastAsia="仿宋_GB2312"/>
                <w:sz w:val="21"/>
              </w:rPr>
              <w:t>1000</w:t>
            </w:r>
            <w:r>
              <w:rPr>
                <w:rFonts w:ascii="仿宋_GB2312" w:hAnsi="仿宋_GB2312" w:cs="仿宋_GB2312" w:eastAsia="仿宋_GB2312"/>
                <w:sz w:val="21"/>
              </w:rPr>
              <w:t>亩耕地不少于</w:t>
            </w:r>
            <w:r>
              <w:rPr>
                <w:rFonts w:ascii="仿宋_GB2312" w:hAnsi="仿宋_GB2312" w:cs="仿宋_GB2312" w:eastAsia="仿宋_GB2312"/>
                <w:sz w:val="21"/>
              </w:rPr>
              <w:t>1</w:t>
            </w:r>
            <w:r>
              <w:rPr>
                <w:rFonts w:ascii="仿宋_GB2312" w:hAnsi="仿宋_GB2312" w:cs="仿宋_GB2312" w:eastAsia="仿宋_GB2312"/>
                <w:sz w:val="21"/>
              </w:rPr>
              <w:t>个点；损毁</w:t>
            </w:r>
            <w:r>
              <w:rPr>
                <w:rFonts w:ascii="仿宋_GB2312" w:hAnsi="仿宋_GB2312" w:cs="仿宋_GB2312" w:eastAsia="仿宋_GB2312"/>
                <w:sz w:val="21"/>
              </w:rPr>
              <w:t>破坏区每200亩耕地不少于1个点。耕地面积较小的县（区）应根据地形地貌特点及农业生产实际情况加密布设样点，除未央、西咸、高新外，每县总调查采样点位数不少于20个。</w:t>
            </w:r>
          </w:p>
          <w:p>
            <w:pPr>
              <w:pStyle w:val="null3"/>
              <w:ind w:firstLine="420"/>
              <w:jc w:val="both"/>
            </w:pPr>
            <w:r>
              <w:rPr>
                <w:rFonts w:ascii="仿宋_GB2312" w:hAnsi="仿宋_GB2312" w:cs="仿宋_GB2312" w:eastAsia="仿宋_GB2312"/>
                <w:sz w:val="21"/>
              </w:rPr>
              <w:t>以县域为单位，开展</w:t>
            </w:r>
            <w:r>
              <w:rPr>
                <w:rFonts w:ascii="仿宋_GB2312" w:hAnsi="仿宋_GB2312" w:cs="仿宋_GB2312" w:eastAsia="仿宋_GB2312"/>
                <w:sz w:val="21"/>
              </w:rPr>
              <w:t>1</w:t>
            </w:r>
            <w:r>
              <w:rPr>
                <w:rFonts w:ascii="仿宋_GB2312" w:hAnsi="仿宋_GB2312" w:cs="仿宋_GB2312" w:eastAsia="仿宋_GB2312"/>
                <w:sz w:val="21"/>
              </w:rPr>
              <w:t>次调查采样及分析检测工作。调查内容包括土壤立地条件、自然属性和田间基础设施情况等。在质量建设区，如高标准农田建设实施区域，根据质量建设具体内容，补充调查工程建设指标；在耕地占补区的</w:t>
            </w:r>
            <w:r>
              <w:rPr>
                <w:rFonts w:ascii="仿宋_GB2312" w:hAnsi="仿宋_GB2312" w:cs="仿宋_GB2312" w:eastAsia="仿宋_GB2312"/>
                <w:sz w:val="21"/>
              </w:rPr>
              <w:t>补充耕地质量区域，依据</w:t>
            </w:r>
            <w:r>
              <w:rPr>
                <w:rFonts w:ascii="仿宋_GB2312" w:hAnsi="仿宋_GB2312" w:cs="仿宋_GB2312" w:eastAsia="仿宋_GB2312"/>
                <w:sz w:val="21"/>
              </w:rPr>
              <w:t>NY/T 2626补充开展农业生产基本条件符合性调查；在损毁破坏区，根据损毁因素，补充开展专</w:t>
            </w:r>
            <w:r>
              <w:rPr>
                <w:rFonts w:ascii="仿宋_GB2312" w:hAnsi="仿宋_GB2312" w:cs="仿宋_GB2312" w:eastAsia="仿宋_GB2312"/>
                <w:sz w:val="21"/>
              </w:rPr>
              <w:t>项调查。按照《耕地质量监测技术规范》农业行业标准，采集、制备土壤样品315个，检测365个样品的土壤理化指标，土壤理化指标包括pH、有机质、有效磷、速效钾、缓效钾、全氮、碱解氮、容重、阳离子交换量、微生物量碳等。</w:t>
            </w:r>
          </w:p>
          <w:p>
            <w:pPr>
              <w:pStyle w:val="null3"/>
            </w:pPr>
            <w:r>
              <w:rPr>
                <w:rFonts w:ascii="仿宋_GB2312" w:hAnsi="仿宋_GB2312" w:cs="仿宋_GB2312" w:eastAsia="仿宋_GB2312"/>
                <w:sz w:val="21"/>
              </w:rPr>
              <w:t xml:space="preserve">  成果交付要求提供耕地质量调查监测采样制备及分析检测工作报告1份。报告内容包括项目背景、工作内容、项目组织、项目开展情况等，报告附全部样点的水印照片2套(1套照片为样品采集工作照，1套照片为测定容重过程中环刀入土照片)，每张照片有经纬度、区县、村组、时间等信息；提供耕地质量调查监测样点检测报告1份（加盖CMA章）；提供耕地质量调查监测样点检测结果EXCEL表格1份。内容包括样点位置信息（经纬度）、调查信息、指标检测结果等。</w:t>
            </w:r>
          </w:p>
          <w:p>
            <w:pPr>
              <w:pStyle w:val="null3"/>
              <w:spacing w:before="45"/>
              <w:ind w:right="285" w:firstLine="660"/>
            </w:pPr>
            <w:r>
              <w:rPr>
                <w:rFonts w:ascii="仿宋_GB2312" w:hAnsi="仿宋_GB2312" w:cs="仿宋_GB2312" w:eastAsia="仿宋_GB2312"/>
                <w:sz w:val="21"/>
                <w:b/>
              </w:rPr>
              <w:t>五、商务要求</w:t>
            </w:r>
          </w:p>
          <w:p>
            <w:pPr>
              <w:pStyle w:val="null3"/>
              <w:spacing w:before="45"/>
              <w:ind w:right="285" w:firstLine="660"/>
            </w:pPr>
            <w:r>
              <w:rPr>
                <w:rFonts w:ascii="仿宋_GB2312" w:hAnsi="仿宋_GB2312" w:cs="仿宋_GB2312" w:eastAsia="仿宋_GB2312"/>
                <w:sz w:val="21"/>
              </w:rPr>
              <w:t>（一）服务期限</w:t>
            </w:r>
          </w:p>
          <w:p>
            <w:pPr>
              <w:pStyle w:val="null3"/>
              <w:ind w:firstLine="420"/>
              <w:jc w:val="both"/>
            </w:pP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7</w:t>
            </w:r>
            <w:r>
              <w:rPr>
                <w:rFonts w:ascii="仿宋_GB2312" w:hAnsi="仿宋_GB2312" w:cs="仿宋_GB2312" w:eastAsia="仿宋_GB2312"/>
                <w:sz w:val="21"/>
              </w:rPr>
              <w:t>月中旬开始，</w:t>
            </w:r>
            <w:r>
              <w:rPr>
                <w:rFonts w:ascii="仿宋_GB2312" w:hAnsi="仿宋_GB2312" w:cs="仿宋_GB2312" w:eastAsia="仿宋_GB2312"/>
                <w:sz w:val="21"/>
              </w:rPr>
              <w:t>2025</w:t>
            </w:r>
            <w:r>
              <w:rPr>
                <w:rFonts w:ascii="仿宋_GB2312" w:hAnsi="仿宋_GB2312" w:cs="仿宋_GB2312" w:eastAsia="仿宋_GB2312"/>
                <w:sz w:val="21"/>
              </w:rPr>
              <w:t>年</w:t>
            </w:r>
            <w:r>
              <w:rPr>
                <w:rFonts w:ascii="仿宋_GB2312" w:hAnsi="仿宋_GB2312" w:cs="仿宋_GB2312" w:eastAsia="仿宋_GB2312"/>
                <w:sz w:val="21"/>
              </w:rPr>
              <w:t>11</w:t>
            </w:r>
            <w:r>
              <w:rPr>
                <w:rFonts w:ascii="仿宋_GB2312" w:hAnsi="仿宋_GB2312" w:cs="仿宋_GB2312" w:eastAsia="仿宋_GB2312"/>
                <w:sz w:val="21"/>
              </w:rPr>
              <w:t>月前结束。</w:t>
            </w:r>
          </w:p>
          <w:p>
            <w:pPr>
              <w:pStyle w:val="null3"/>
              <w:spacing w:before="45"/>
              <w:ind w:right="285" w:firstLine="660"/>
            </w:pPr>
            <w:r>
              <w:rPr>
                <w:rFonts w:ascii="仿宋_GB2312" w:hAnsi="仿宋_GB2312" w:cs="仿宋_GB2312" w:eastAsia="仿宋_GB2312"/>
                <w:sz w:val="21"/>
              </w:rPr>
              <w:t>（二）款项结算</w:t>
            </w:r>
          </w:p>
          <w:p>
            <w:pPr>
              <w:pStyle w:val="null3"/>
              <w:ind w:firstLine="420"/>
              <w:jc w:val="both"/>
            </w:pPr>
            <w:r>
              <w:rPr>
                <w:rFonts w:ascii="仿宋_GB2312" w:hAnsi="仿宋_GB2312" w:cs="仿宋_GB2312" w:eastAsia="仿宋_GB2312"/>
                <w:sz w:val="21"/>
              </w:rPr>
              <w:t>1</w:t>
            </w:r>
            <w:r>
              <w:rPr>
                <w:rFonts w:ascii="仿宋_GB2312" w:hAnsi="仿宋_GB2312" w:cs="仿宋_GB2312" w:eastAsia="仿宋_GB2312"/>
                <w:sz w:val="21"/>
              </w:rPr>
              <w:t>、合同签订后，达到付款条件</w:t>
            </w:r>
            <w:r>
              <w:rPr>
                <w:rFonts w:ascii="仿宋_GB2312" w:hAnsi="仿宋_GB2312" w:cs="仿宋_GB2312" w:eastAsia="仿宋_GB2312"/>
                <w:sz w:val="21"/>
              </w:rPr>
              <w:t>10</w:t>
            </w:r>
            <w:r>
              <w:rPr>
                <w:rFonts w:ascii="仿宋_GB2312" w:hAnsi="仿宋_GB2312" w:cs="仿宋_GB2312" w:eastAsia="仿宋_GB2312"/>
                <w:sz w:val="21"/>
              </w:rPr>
              <w:t>日内，支付合同总金额的</w:t>
            </w:r>
            <w:r>
              <w:rPr>
                <w:rFonts w:ascii="仿宋_GB2312" w:hAnsi="仿宋_GB2312" w:cs="仿宋_GB2312" w:eastAsia="仿宋_GB2312"/>
                <w:sz w:val="21"/>
              </w:rPr>
              <w:t>40%</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2</w:t>
            </w:r>
            <w:r>
              <w:rPr>
                <w:rFonts w:ascii="仿宋_GB2312" w:hAnsi="仿宋_GB2312" w:cs="仿宋_GB2312" w:eastAsia="仿宋_GB2312"/>
                <w:sz w:val="21"/>
              </w:rPr>
              <w:t>、项目验收合格后，达到付款条件</w:t>
            </w:r>
            <w:r>
              <w:rPr>
                <w:rFonts w:ascii="仿宋_GB2312" w:hAnsi="仿宋_GB2312" w:cs="仿宋_GB2312" w:eastAsia="仿宋_GB2312"/>
                <w:sz w:val="21"/>
              </w:rPr>
              <w:t>10</w:t>
            </w:r>
            <w:r>
              <w:rPr>
                <w:rFonts w:ascii="仿宋_GB2312" w:hAnsi="仿宋_GB2312" w:cs="仿宋_GB2312" w:eastAsia="仿宋_GB2312"/>
                <w:sz w:val="21"/>
              </w:rPr>
              <w:t>日内，支付合同总金额的</w:t>
            </w:r>
            <w:r>
              <w:rPr>
                <w:rFonts w:ascii="仿宋_GB2312" w:hAnsi="仿宋_GB2312" w:cs="仿宋_GB2312" w:eastAsia="仿宋_GB2312"/>
                <w:sz w:val="21"/>
              </w:rPr>
              <w:t>60%</w:t>
            </w:r>
            <w:r>
              <w:rPr>
                <w:rFonts w:ascii="仿宋_GB2312" w:hAnsi="仿宋_GB2312" w:cs="仿宋_GB2312" w:eastAsia="仿宋_GB2312"/>
                <w:sz w:val="21"/>
              </w:rPr>
              <w:t>。</w:t>
            </w:r>
          </w:p>
          <w:p>
            <w:pPr>
              <w:pStyle w:val="null3"/>
              <w:ind w:firstLine="420"/>
              <w:jc w:val="both"/>
            </w:pP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满足采购人及采购文件要求</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2025年7月中旬开始，2025年11月前结束。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达到付款条件</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按采购人要求进行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1、为保证项目顺利备案，成交供应商在领取纸质版成交通知书时，需提供纸质版响应文件一正两副，电子版一份。 2、检测费以银行转账方式支付，甲方向乙方支付每一笔价款前，乙方应向甲方开具等额、合法并符合甲方财务要求的增值税普通发票，否则，甲方有权拒绝付款并不承担任何逾期付款的违约责任。 3、乙方保证账户信息准确、合法，乙方变更账户信息的应提前十日书面通知甲方，否则，由此给双方造成的损失均由乙方承担</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主体证明文件</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资格证书</w:t>
            </w:r>
          </w:p>
        </w:tc>
        <w:tc>
          <w:tcPr>
            <w:tcW w:type="dxa" w:w="3322"/>
          </w:tcPr>
          <w:p>
            <w:pPr>
              <w:pStyle w:val="null3"/>
            </w:pPr>
            <w:r>
              <w:rPr>
                <w:rFonts w:ascii="仿宋_GB2312" w:hAnsi="仿宋_GB2312" w:cs="仿宋_GB2312" w:eastAsia="仿宋_GB2312"/>
              </w:rPr>
              <w:t>具备合法有效的CMA检验检测机构资质认定证书。</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法定代表人身份证明/法定代表人授权委托书</w:t>
            </w:r>
          </w:p>
        </w:tc>
        <w:tc>
          <w:tcPr>
            <w:tcW w:type="dxa" w:w="3322"/>
          </w:tcPr>
          <w:p>
            <w:pPr>
              <w:pStyle w:val="null3"/>
            </w:pPr>
            <w:r>
              <w:rPr>
                <w:rFonts w:ascii="仿宋_GB2312" w:hAnsi="仿宋_GB2312" w:cs="仿宋_GB2312" w:eastAsia="仿宋_GB2312"/>
              </w:rPr>
              <w:t>法定代表人参加磋商的，须出具法定代表人身份证明书及身份证。法定代表人授权委托人参加磋商的，须出具法定代表人授权委托书及授权委托人身份证。</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财务状况</w:t>
            </w:r>
          </w:p>
        </w:tc>
        <w:tc>
          <w:tcPr>
            <w:tcW w:type="dxa" w:w="3322"/>
          </w:tcPr>
          <w:p>
            <w:pPr>
              <w:pStyle w:val="null3"/>
            </w:pPr>
            <w:r>
              <w:rPr>
                <w:rFonts w:ascii="仿宋_GB2312" w:hAnsi="仿宋_GB2312" w:cs="仿宋_GB2312" w:eastAsia="仿宋_GB2312"/>
              </w:rPr>
              <w:t>提供2023年度或2024年度经审计的财务报告（成立时间至响应文件递交截止时间不足一年的可提供成立后任意时段的资产负债表），或提供响应文递交截止日前三个月内其基本存款账户开户银行出具的资信证明；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依法缴纳税收的证明</w:t>
            </w:r>
          </w:p>
        </w:tc>
        <w:tc>
          <w:tcPr>
            <w:tcW w:type="dxa" w:w="3322"/>
          </w:tcPr>
          <w:p>
            <w:pPr>
              <w:pStyle w:val="null3"/>
            </w:pPr>
            <w:r>
              <w:rPr>
                <w:rFonts w:ascii="仿宋_GB2312" w:hAnsi="仿宋_GB2312" w:cs="仿宋_GB2312" w:eastAsia="仿宋_GB2312"/>
              </w:rPr>
              <w:t>提供递交响应文件截止之日前一年内任意一个月的依法缴纳税收的相关凭据（时间以税款所属日期为准），依法免税或无须缴纳税收的供应商，应提供相应证明文件。</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依法缴纳社保的证明</w:t>
            </w:r>
          </w:p>
        </w:tc>
        <w:tc>
          <w:tcPr>
            <w:tcW w:type="dxa" w:w="3322"/>
          </w:tcPr>
          <w:p>
            <w:pPr>
              <w:pStyle w:val="null3"/>
            </w:pPr>
            <w:r>
              <w:rPr>
                <w:rFonts w:ascii="仿宋_GB2312" w:hAnsi="仿宋_GB2312" w:cs="仿宋_GB2312" w:eastAsia="仿宋_GB2312"/>
              </w:rPr>
              <w:t>提供递交响应文件截止之日前一年内任意一个月的社会保障资金缴纳证明，依法不需要缴纳社会保障资金的供应商应提供相关文件证明。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无重大违法记录的声明</w:t>
            </w:r>
          </w:p>
        </w:tc>
        <w:tc>
          <w:tcPr>
            <w:tcW w:type="dxa" w:w="3322"/>
          </w:tcPr>
          <w:p>
            <w:pPr>
              <w:pStyle w:val="null3"/>
            </w:pPr>
            <w:r>
              <w:rPr>
                <w:rFonts w:ascii="仿宋_GB2312" w:hAnsi="仿宋_GB2312" w:cs="仿宋_GB2312" w:eastAsia="仿宋_GB2312"/>
              </w:rPr>
              <w:t>参加政府采购活动前3年内在经营活动中没有重大违法记录的书面声明。</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具备履行合同所必需的设备和专业技术能力的证明材料</w:t>
            </w:r>
          </w:p>
        </w:tc>
        <w:tc>
          <w:tcPr>
            <w:tcW w:type="dxa" w:w="3322"/>
          </w:tcPr>
          <w:p>
            <w:pPr>
              <w:pStyle w:val="null3"/>
            </w:pPr>
            <w:r>
              <w:rPr>
                <w:rFonts w:ascii="仿宋_GB2312" w:hAnsi="仿宋_GB2312" w:cs="仿宋_GB2312" w:eastAsia="仿宋_GB2312"/>
              </w:rPr>
              <w:t>供应商需在项目电子化交易系统中提供具备履行合同所必需的设备和专业技术能力的承诺并进行电子签章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信用记录审查</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供应商需提供信用中国网及中国政府采购网相应查询结果网页截图加盖供应商公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10</w:t>
            </w:r>
          </w:p>
        </w:tc>
        <w:tc>
          <w:tcPr>
            <w:tcW w:type="dxa" w:w="2492"/>
          </w:tcPr>
          <w:p>
            <w:pPr>
              <w:pStyle w:val="null3"/>
            </w:pPr>
            <w:r>
              <w:rPr>
                <w:rFonts w:ascii="仿宋_GB2312" w:hAnsi="仿宋_GB2312" w:cs="仿宋_GB2312" w:eastAsia="仿宋_GB2312"/>
              </w:rPr>
              <w:t>本项目不接受联合体投标</w:t>
            </w:r>
          </w:p>
        </w:tc>
        <w:tc>
          <w:tcPr>
            <w:tcW w:type="dxa" w:w="3322"/>
          </w:tcPr>
          <w:p>
            <w:pPr>
              <w:pStyle w:val="null3"/>
            </w:pPr>
            <w:r>
              <w:rPr>
                <w:rFonts w:ascii="仿宋_GB2312" w:hAnsi="仿宋_GB2312" w:cs="仿宋_GB2312" w:eastAsia="仿宋_GB2312"/>
              </w:rPr>
              <w:t>本项目不接受联合体磋商；（提供书面承诺，加盖供应商公章）。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11</w:t>
            </w:r>
          </w:p>
        </w:tc>
        <w:tc>
          <w:tcPr>
            <w:tcW w:type="dxa" w:w="2492"/>
          </w:tcPr>
          <w:p>
            <w:pPr>
              <w:pStyle w:val="null3"/>
            </w:pPr>
            <w:r>
              <w:rPr>
                <w:rFonts w:ascii="仿宋_GB2312" w:hAnsi="仿宋_GB2312" w:cs="仿宋_GB2312" w:eastAsia="仿宋_GB2312"/>
              </w:rPr>
              <w:t>控股、管理关系</w:t>
            </w:r>
          </w:p>
        </w:tc>
        <w:tc>
          <w:tcPr>
            <w:tcW w:type="dxa" w:w="3322"/>
          </w:tcPr>
          <w:p>
            <w:pPr>
              <w:pStyle w:val="null3"/>
            </w:pPr>
            <w:r>
              <w:rPr>
                <w:rFonts w:ascii="仿宋_GB2312" w:hAnsi="仿宋_GB2312" w:cs="仿宋_GB2312" w:eastAsia="仿宋_GB2312"/>
              </w:rPr>
              <w:t>单位负责人为同一人或者存在直接控股、管理关系的不同供应商，不得同时参加本采购项目投标；（提供书面承诺，加盖供应商公章）。</w:t>
            </w:r>
          </w:p>
        </w:tc>
        <w:tc>
          <w:tcPr>
            <w:tcW w:type="dxa" w:w="1661"/>
          </w:tcPr>
          <w:p>
            <w:pPr>
              <w:pStyle w:val="null3"/>
            </w:pPr>
            <w:r>
              <w:rPr>
                <w:rFonts w:ascii="仿宋_GB2312" w:hAnsi="仿宋_GB2312" w:cs="仿宋_GB2312" w:eastAsia="仿宋_GB2312"/>
              </w:rPr>
              <w:t>响应函 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响应文件的签署盖章</w:t>
            </w:r>
          </w:p>
        </w:tc>
        <w:tc>
          <w:tcPr>
            <w:tcW w:type="dxa" w:w="3322"/>
          </w:tcPr>
          <w:p>
            <w:pPr>
              <w:pStyle w:val="null3"/>
            </w:pPr>
            <w:r>
              <w:rPr>
                <w:rFonts w:ascii="仿宋_GB2312" w:hAnsi="仿宋_GB2312" w:cs="仿宋_GB2312" w:eastAsia="仿宋_GB2312"/>
              </w:rPr>
              <w:t>响应文件上法定代表人（负责人）或其授权代表人的签字齐全并加盖公章</w:t>
            </w:r>
          </w:p>
        </w:tc>
        <w:tc>
          <w:tcPr>
            <w:tcW w:type="dxa" w:w="1661"/>
          </w:tcPr>
          <w:p>
            <w:pPr>
              <w:pStyle w:val="null3"/>
            </w:pPr>
            <w:r>
              <w:rPr>
                <w:rFonts w:ascii="仿宋_GB2312" w:hAnsi="仿宋_GB2312" w:cs="仿宋_GB2312" w:eastAsia="仿宋_GB2312"/>
              </w:rPr>
              <w:t>服务内容及服务邀请应答表 中小企业声明函 商务应答表 报价表 类似业绩一览表.docx 其他相关资料.docx 资格证明文件.docx 响应文件封面 残疾人福利性单位声明函 服务方案 标的清单 供应商拒绝政府采购领域商业贿赂承诺书.docx 项目实施人员情况表.docx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响应文件格式、语言、计量单位、报价货币</w:t>
            </w:r>
          </w:p>
        </w:tc>
        <w:tc>
          <w:tcPr>
            <w:tcW w:type="dxa" w:w="3322"/>
          </w:tcPr>
          <w:p>
            <w:pPr>
              <w:pStyle w:val="null3"/>
            </w:pPr>
            <w:r>
              <w:rPr>
                <w:rFonts w:ascii="仿宋_GB2312" w:hAnsi="仿宋_GB2312" w:cs="仿宋_GB2312" w:eastAsia="仿宋_GB2312"/>
              </w:rPr>
              <w:t>应符合“响应文件格式”和磋商文件要求</w:t>
            </w:r>
          </w:p>
        </w:tc>
        <w:tc>
          <w:tcPr>
            <w:tcW w:type="dxa" w:w="1661"/>
          </w:tcPr>
          <w:p>
            <w:pPr>
              <w:pStyle w:val="null3"/>
            </w:pPr>
            <w:r>
              <w:rPr>
                <w:rFonts w:ascii="仿宋_GB2312" w:hAnsi="仿宋_GB2312" w:cs="仿宋_GB2312" w:eastAsia="仿宋_GB2312"/>
              </w:rPr>
              <w:t>服务内容及服务邀请应答表 中小企业声明函 商务应答表 报价表 类似业绩一览表.docx 其他相关资料.docx 资格证明文件.docx 响应文件封面 残疾人福利性单位声明函 服务方案 标的清单 供应商拒绝政府采购领域商业贿赂承诺书.docx 项目实施人员情况表.docx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 xml:space="preserve"> 同时满足以下条款： （1）货币单位符合采购文件要求 （2）报价符合唯一性要求 （3）未超出采购预算或最高限价 （4）符合《磋商一览表》的填报要求</w:t>
            </w:r>
          </w:p>
        </w:tc>
        <w:tc>
          <w:tcPr>
            <w:tcW w:type="dxa" w:w="1661"/>
          </w:tcPr>
          <w:p>
            <w:pPr>
              <w:pStyle w:val="null3"/>
            </w:pPr>
            <w:r>
              <w:rPr>
                <w:rFonts w:ascii="仿宋_GB2312" w:hAnsi="仿宋_GB2312" w:cs="仿宋_GB2312" w:eastAsia="仿宋_GB2312"/>
              </w:rPr>
              <w:t>响应文件封面 标的清单 报价表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技术（服务）条款</w:t>
            </w:r>
          </w:p>
        </w:tc>
        <w:tc>
          <w:tcPr>
            <w:tcW w:type="dxa" w:w="3322"/>
          </w:tcPr>
          <w:p>
            <w:pPr>
              <w:pStyle w:val="null3"/>
            </w:pPr>
            <w:r>
              <w:rPr>
                <w:rFonts w:ascii="仿宋_GB2312" w:hAnsi="仿宋_GB2312" w:cs="仿宋_GB2312" w:eastAsia="仿宋_GB2312"/>
              </w:rPr>
              <w:t xml:space="preserve"> 完全理解并响应采购文件要求的各项技术（服务），且未含有采购人不能接受的附加条件的。</w:t>
            </w:r>
          </w:p>
        </w:tc>
        <w:tc>
          <w:tcPr>
            <w:tcW w:type="dxa" w:w="1661"/>
          </w:tcPr>
          <w:p>
            <w:pPr>
              <w:pStyle w:val="null3"/>
            </w:pPr>
            <w:r>
              <w:rPr>
                <w:rFonts w:ascii="仿宋_GB2312" w:hAnsi="仿宋_GB2312" w:cs="仿宋_GB2312" w:eastAsia="仿宋_GB2312"/>
              </w:rPr>
              <w:t>服务内容及服务邀请应答表 中小企业声明函 商务应答表 报价表 类似业绩一览表.docx 其他相关资料.docx 资格证明文件.docx 响应文件封面 残疾人福利性单位声明函 服务方案 标的清单 供应商拒绝政府采购领域商业贿赂承诺书.docx 项目实施人员情况表.docx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商务条款（如合同履行期限、质保期、付款方式、响应有效期等）</w:t>
            </w:r>
          </w:p>
        </w:tc>
        <w:tc>
          <w:tcPr>
            <w:tcW w:type="dxa" w:w="3322"/>
          </w:tcPr>
          <w:p>
            <w:pPr>
              <w:pStyle w:val="null3"/>
            </w:pPr>
            <w:r>
              <w:rPr>
                <w:rFonts w:ascii="仿宋_GB2312" w:hAnsi="仿宋_GB2312" w:cs="仿宋_GB2312" w:eastAsia="仿宋_GB2312"/>
              </w:rPr>
              <w:t xml:space="preserve"> 完全理解并响应采购文件商务条款的要求，且未含有采购人不能接受的附加条件的。</w:t>
            </w:r>
          </w:p>
        </w:tc>
        <w:tc>
          <w:tcPr>
            <w:tcW w:type="dxa" w:w="1661"/>
          </w:tcPr>
          <w:p>
            <w:pPr>
              <w:pStyle w:val="null3"/>
            </w:pPr>
            <w:r>
              <w:rPr>
                <w:rFonts w:ascii="仿宋_GB2312" w:hAnsi="仿宋_GB2312" w:cs="仿宋_GB2312" w:eastAsia="仿宋_GB2312"/>
              </w:rPr>
              <w:t>服务内容及服务邀请应答表 商务应答表 服务方案</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响应文件封面 响应函</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 xml:space="preserve"> 供应商根据项目要求，结合自身情况，制定详细专业的针对性实施方案，方案应充分考虑采购单位的实际需求，内容包括但不限于组织管理、人员培训、方案计划、采样贮存、信息报送，检验工作、质量体系和质量监督、风险防控等。方案内容完整、可行性强得20-13分，基本可行得12-6分，方案不完整、可行性差得5-0分。</w:t>
            </w:r>
          </w:p>
        </w:tc>
        <w:tc>
          <w:tcPr>
            <w:tcW w:type="dxa" w:w="831"/>
          </w:tcPr>
          <w:p>
            <w:pPr>
              <w:pStyle w:val="null3"/>
              <w:jc w:val="right"/>
            </w:pPr>
            <w:r>
              <w:rPr>
                <w:rFonts w:ascii="仿宋_GB2312" w:hAnsi="仿宋_GB2312" w:cs="仿宋_GB2312" w:eastAsia="仿宋_GB2312"/>
              </w:rPr>
              <w:t>20.0000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实验室及管理系统</w:t>
            </w:r>
          </w:p>
        </w:tc>
        <w:tc>
          <w:tcPr>
            <w:tcW w:type="dxa" w:w="2492"/>
          </w:tcPr>
          <w:p>
            <w:pPr>
              <w:pStyle w:val="null3"/>
            </w:pPr>
            <w:r>
              <w:rPr>
                <w:rFonts w:ascii="仿宋_GB2312" w:hAnsi="仿宋_GB2312" w:cs="仿宋_GB2312" w:eastAsia="仿宋_GB2312"/>
              </w:rPr>
              <w:t xml:space="preserve"> 具有满足本项目检测要求的实验室，提供租赁合同或购买合同及实地照片证明等材料。根据所提供资料的完整度，计0-5分； 拥有实验室信息管理系统（LIMS），具备出具电子报告能力，得2分。</w:t>
            </w:r>
          </w:p>
        </w:tc>
        <w:tc>
          <w:tcPr>
            <w:tcW w:type="dxa" w:w="831"/>
          </w:tcPr>
          <w:p>
            <w:pPr>
              <w:pStyle w:val="null3"/>
              <w:jc w:val="right"/>
            </w:pPr>
            <w:r>
              <w:rPr>
                <w:rFonts w:ascii="仿宋_GB2312" w:hAnsi="仿宋_GB2312" w:cs="仿宋_GB2312" w:eastAsia="仿宋_GB2312"/>
              </w:rPr>
              <w:t>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实验室管理制度</w:t>
            </w:r>
          </w:p>
        </w:tc>
        <w:tc>
          <w:tcPr>
            <w:tcW w:type="dxa" w:w="2492"/>
          </w:tcPr>
          <w:p>
            <w:pPr>
              <w:pStyle w:val="null3"/>
            </w:pPr>
            <w:r>
              <w:rPr>
                <w:rFonts w:ascii="仿宋_GB2312" w:hAnsi="仿宋_GB2312" w:cs="仿宋_GB2312" w:eastAsia="仿宋_GB2312"/>
              </w:rPr>
              <w:t xml:space="preserve"> 实验室管理制度至少包括： （1）“抽检分离”相关制度； （2）异议处理、复检交接等相关制度； （3）检后样品保管制度； （4）全过程质量管理制度； （5）事故分析和责任追究制度。 以上内容专门针对本项目实验室管理制度得15分，每缺一项内容扣3分，若上述内容存在瑕疵，每存在1处瑕疵扣0.5分，扣完为止。 “瑕疵”指内容明显错误，或内容不完整或缺少关键点，或不适用本项目特性、套用其他项目内容或内容不能满足本项目实际需求等情形。</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检测能力</w:t>
            </w:r>
          </w:p>
        </w:tc>
        <w:tc>
          <w:tcPr>
            <w:tcW w:type="dxa" w:w="2492"/>
          </w:tcPr>
          <w:p>
            <w:pPr>
              <w:pStyle w:val="null3"/>
            </w:pPr>
            <w:r>
              <w:rPr>
                <w:rFonts w:ascii="仿宋_GB2312" w:hAnsi="仿宋_GB2312" w:cs="仿宋_GB2312" w:eastAsia="仿宋_GB2312"/>
              </w:rPr>
              <w:t xml:space="preserve"> 承检机构检验检测能力涵盖本次所有主要检测参数（以认证表复印件为准）按以下标准评审赋分：符合率100%得10分；符合率95%-99%得5分；符合率90%-94%得1分；低于90%不得分。(注：供应商应提供覆盖率相关证明材料)</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依据磋商响应文件所提供的服务保障措施（包 括但不限于服务承诺、应急处理措施等）： （1）服务承诺考虑全面，应急处理措施完善周到，及时有效，得 (5-8】； （2）服务承诺内容较少，及应急处理措施不完善，得（0-4】。</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工作成果</w:t>
            </w:r>
          </w:p>
        </w:tc>
        <w:tc>
          <w:tcPr>
            <w:tcW w:type="dxa" w:w="2492"/>
          </w:tcPr>
          <w:p>
            <w:pPr>
              <w:pStyle w:val="null3"/>
            </w:pPr>
            <w:r>
              <w:rPr>
                <w:rFonts w:ascii="仿宋_GB2312" w:hAnsi="仿宋_GB2312" w:cs="仿宋_GB2312" w:eastAsia="仿宋_GB2312"/>
              </w:rPr>
              <w:t xml:space="preserve"> 工作成果内容、报告处理及送达，报告内容全面，报告处理及送达及时有效，评审委员会根据响应情况综合赋分0-5分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其他相关资料.docx</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1.对拟派项目团队人员的专业性、人员的数量、资质经验等整体比较，专业水平高，数量充足，能保证检验工作的连续性和稳定性得10-8分；较好7-4分；一般3-0分。 2.技术专业人员：从事相关检测工作需满2年，提供中级技术职称人员1名得0.5分，提供高级技术职称人员1名得1分，（中级职称最高得2分，高级职称最高得5分），本项最高得5分，不提供不得分。 以上相关证书扫描件需提供供应商为持证人在本单位所缴纳的社会保险凭证证明材料,证书扫描件须加盖供应商公章。</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项目实施人员情况表.docx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 xml:space="preserve"> 供应商提供2022年01月01日至今类似项目业绩，以合同签订时间为准，提供业绩合同复印件并加盖公章，每提供1份得2分，满分10分。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p>
            <w:pPr>
              <w:pStyle w:val="null3"/>
            </w:pPr>
            <w:r>
              <w:rPr>
                <w:rFonts w:ascii="仿宋_GB2312" w:hAnsi="仿宋_GB2312" w:cs="仿宋_GB2312" w:eastAsia="仿宋_GB2312"/>
              </w:rPr>
              <w:t>类似业绩一览表.docx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投标价格得分</w:t>
            </w:r>
          </w:p>
        </w:tc>
        <w:tc>
          <w:tcPr>
            <w:tcW w:type="dxa" w:w="2492"/>
          </w:tcPr>
          <w:p>
            <w:pPr>
              <w:pStyle w:val="null3"/>
            </w:pPr>
            <w:r>
              <w:rPr>
                <w:rFonts w:ascii="仿宋_GB2312" w:hAnsi="仿宋_GB2312" w:cs="仿宋_GB2312" w:eastAsia="仿宋_GB2312"/>
              </w:rPr>
              <w:t xml:space="preserve"> 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详见附件：供应商拒绝政府采购领域商业贿赂承诺书.docx</w:t>
      </w:r>
    </w:p>
    <w:p>
      <w:pPr>
        <w:pStyle w:val="null3"/>
        <w:ind w:firstLine="960"/>
      </w:pPr>
      <w:r>
        <w:rPr>
          <w:rFonts w:ascii="仿宋_GB2312" w:hAnsi="仿宋_GB2312" w:cs="仿宋_GB2312" w:eastAsia="仿宋_GB2312"/>
        </w:rPr>
        <w:t>详见附件：类似业绩一览表.docx</w:t>
      </w:r>
    </w:p>
    <w:p>
      <w:pPr>
        <w:pStyle w:val="null3"/>
        <w:ind w:firstLine="960"/>
      </w:pPr>
      <w:r>
        <w:rPr>
          <w:rFonts w:ascii="仿宋_GB2312" w:hAnsi="仿宋_GB2312" w:cs="仿宋_GB2312" w:eastAsia="仿宋_GB2312"/>
        </w:rPr>
        <w:t>详见附件：其他相关资料.docx</w:t>
      </w:r>
    </w:p>
    <w:p>
      <w:pPr>
        <w:pStyle w:val="null3"/>
        <w:ind w:firstLine="960"/>
      </w:pPr>
      <w:r>
        <w:rPr>
          <w:rFonts w:ascii="仿宋_GB2312" w:hAnsi="仿宋_GB2312" w:cs="仿宋_GB2312" w:eastAsia="仿宋_GB2312"/>
        </w:rPr>
        <w:t>详见附件：项目实施人员情况表.docx</w:t>
      </w:r>
    </w:p>
    <w:p>
      <w:pPr>
        <w:pStyle w:val="null3"/>
        <w:ind w:firstLine="960"/>
      </w:pPr>
      <w:r>
        <w:rPr>
          <w:rFonts w:ascii="仿宋_GB2312" w:hAnsi="仿宋_GB2312" w:cs="仿宋_GB2312" w:eastAsia="仿宋_GB2312"/>
        </w:rPr>
        <w:t>详见附件：资格证明文件.docx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详见附件：拟签订合同.docx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