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版本号：SXZSY-202501120250708001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进驻新中心2025年场地设备电子屏购置(二次)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SXZSY-2025011</w:t>
      </w:r>
      <w:r>
        <w:br/>
      </w:r>
      <w:r>
        <w:br/>
      </w:r>
      <w:r>
        <w:br/>
      </w:r>
    </w:p>
    <w:p>
      <w:pPr>
        <w:pStyle w:val="null3"/>
        <w:jc w:val="center"/>
        <w:outlineLvl w:val="2"/>
      </w:pPr>
      <w:r>
        <w:rPr>
          <w:rFonts w:ascii="仿宋_GB2312" w:hAnsi="仿宋_GB2312" w:cs="仿宋_GB2312" w:eastAsia="仿宋_GB2312"/>
          <w:sz w:val="28"/>
          <w:b/>
        </w:rPr>
        <w:t>西安市射击射箭运动管理中心</w:t>
      </w:r>
    </w:p>
    <w:p>
      <w:pPr>
        <w:pStyle w:val="null3"/>
        <w:jc w:val="center"/>
        <w:outlineLvl w:val="2"/>
      </w:pPr>
      <w:r>
        <w:rPr>
          <w:rFonts w:ascii="仿宋_GB2312" w:hAnsi="仿宋_GB2312" w:cs="仿宋_GB2312" w:eastAsia="仿宋_GB2312"/>
          <w:sz w:val="28"/>
          <w:b/>
        </w:rPr>
        <w:t>陕西正顺意工程管理有限公司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陕西正顺意工程管理有限公司</w:t>
      </w:r>
      <w:r>
        <w:rPr>
          <w:rFonts w:ascii="仿宋_GB2312" w:hAnsi="仿宋_GB2312" w:cs="仿宋_GB2312" w:eastAsia="仿宋_GB2312"/>
        </w:rPr>
        <w:t>（以下简称“代理机构”）受</w:t>
      </w:r>
      <w:r>
        <w:rPr>
          <w:rFonts w:ascii="仿宋_GB2312" w:hAnsi="仿宋_GB2312" w:cs="仿宋_GB2312" w:eastAsia="仿宋_GB2312"/>
        </w:rPr>
        <w:t>西安市射击射箭运动管理中心</w:t>
      </w:r>
      <w:r>
        <w:rPr>
          <w:rFonts w:ascii="仿宋_GB2312" w:hAnsi="仿宋_GB2312" w:cs="仿宋_GB2312" w:eastAsia="仿宋_GB2312"/>
        </w:rPr>
        <w:t>委托，拟对</w:t>
      </w:r>
      <w:r>
        <w:rPr>
          <w:rFonts w:ascii="仿宋_GB2312" w:hAnsi="仿宋_GB2312" w:cs="仿宋_GB2312" w:eastAsia="仿宋_GB2312"/>
        </w:rPr>
        <w:t>进驻新中心2025年场地设备电子屏购置(二次)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SXZSY-2025011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进驻新中心2025年场地设备电子屏购置(二次)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为完成训练与比赛计划，西安市射击射箭运动管理中心采购室内全彩LED显示屏、视频拼接器、配电柜LED屏支架等进驻新场地设备，详见技术参数与性能指标。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6、具有履行合同所必需的设备和专业技术能力：具有履行合同所必需的设备和专业技术能力：具有履行合同所必需的设备和专业技术能力的说明及承诺</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西安市射击射箭运动管理中心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陕西省西安市灞桥区港务西路与秦汉大道交叉口北900米路东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029-88060669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陕西正顺意工程管理有限公司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陕西省西安市高新区高新六路21号万象汇街区T6座1501室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029-88748350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1、代理服务费收取对象：中标/成交供应商 2、代理服务费收费标准：招标代理服务费参照《国家计委关于印发&lt;招标代理服务收费管理暂行办法&gt;的通知》（计价格〔2002〕1980号）和发改办价格〔2003〕857号以及发改价格〔2011〕534号文中规定的标准执行。 成交单位的代理服务费交纳信息 开户名称：户 名：陕西正顺意工程管理有限公司 账 号：802923010122701960 开户银行：恒丰银行西安大寨路支行。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西安市射击射箭运动管理中心</w:t>
      </w:r>
      <w:r>
        <w:rPr>
          <w:rFonts w:ascii="仿宋_GB2312" w:hAnsi="仿宋_GB2312" w:cs="仿宋_GB2312" w:eastAsia="仿宋_GB2312"/>
        </w:rPr>
        <w:t>和</w:t>
      </w:r>
      <w:r>
        <w:rPr>
          <w:rFonts w:ascii="仿宋_GB2312" w:hAnsi="仿宋_GB2312" w:cs="仿宋_GB2312" w:eastAsia="仿宋_GB2312"/>
        </w:rPr>
        <w:t>陕西正顺意工程管理有限公司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西安市射击射箭运动管理中心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陕西正顺意工程管理有限公司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西安市射击射箭运动管理中心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陕西正顺意工程管理有限公司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联系人：郭晨东</w:t>
      </w:r>
    </w:p>
    <w:p>
      <w:pPr>
        <w:pStyle w:val="null3"/>
      </w:pPr>
      <w:r>
        <w:rPr>
          <w:rFonts w:ascii="仿宋_GB2312" w:hAnsi="仿宋_GB2312" w:cs="仿宋_GB2312" w:eastAsia="仿宋_GB2312"/>
        </w:rPr>
        <w:t>联系电话：029-88748350</w:t>
      </w:r>
    </w:p>
    <w:p>
      <w:pPr>
        <w:pStyle w:val="null3"/>
      </w:pPr>
      <w:r>
        <w:rPr>
          <w:rFonts w:ascii="仿宋_GB2312" w:hAnsi="仿宋_GB2312" w:cs="仿宋_GB2312" w:eastAsia="仿宋_GB2312"/>
        </w:rPr>
        <w:t>地址：陕西省西安市高新区高新六路21号万象汇街区T6座1501室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为完成训练与比赛计划，西安市射击射箭运动管理中心采购室内全彩LED显示屏、视频拼接器、配电柜LED屏支架等进驻新场地设备，详见技术参数与性能指标。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228"/>
              <w:gridCol w:w="1608"/>
              <w:gridCol w:w="211"/>
              <w:gridCol w:w="316"/>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序号</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名称</w:t>
                  </w:r>
                </w:p>
              </w:tc>
              <w:tc>
                <w:tcPr>
                  <w:tcW w:type="dxa" w:w="1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技术要求</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单位</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室内全彩LED显示屏</w:t>
                  </w:r>
                </w:p>
              </w:tc>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面积：屏幕宽≥7.8米，高≥4.05米，分辨率宽≥6240，高≥3240，整屏面积≥31.59㎡</w:t>
                  </w:r>
                </w:p>
                <w:p>
                  <w:pPr>
                    <w:pStyle w:val="null3"/>
                  </w:pPr>
                  <w:r>
                    <w:rPr>
                      <w:rFonts w:ascii="仿宋_GB2312" w:hAnsi="仿宋_GB2312" w:cs="仿宋_GB2312" w:eastAsia="仿宋_GB2312"/>
                      <w:sz w:val="18"/>
                    </w:rPr>
                    <w:t>1、LED像素间距≤1.25mm,点密度≥640000点/㎡，采用RGB晶片全倒装技术，晶片直接焊在PCB上；</w:t>
                  </w:r>
                </w:p>
                <w:p>
                  <w:pPr>
                    <w:pStyle w:val="null3"/>
                  </w:pPr>
                  <w:r>
                    <w:rPr>
                      <w:rFonts w:ascii="仿宋_GB2312" w:hAnsi="仿宋_GB2312" w:cs="仿宋_GB2312" w:eastAsia="仿宋_GB2312"/>
                      <w:sz w:val="18"/>
                    </w:rPr>
                    <w:t>2、显示屏箱体宽高比16：9设计；</w:t>
                  </w:r>
                </w:p>
                <w:p>
                  <w:pPr>
                    <w:pStyle w:val="null3"/>
                  </w:pPr>
                  <w:r>
                    <w:rPr>
                      <w:rFonts w:ascii="仿宋_GB2312" w:hAnsi="仿宋_GB2312" w:cs="仿宋_GB2312" w:eastAsia="仿宋_GB2312"/>
                      <w:sz w:val="18"/>
                    </w:rPr>
                    <w:t xml:space="preserve">3、箱体采用封闭式压铸铝/铝镁材质，箱体和电源无风扇，密封防尘、静音设计，电源板与箱体后盖直接接触，热量可通过 PCB 板直接导入后盖，后盖散热硅胶辅助散热，散热效果好； </w:t>
                  </w:r>
                </w:p>
                <w:p>
                  <w:pPr>
                    <w:pStyle w:val="null3"/>
                  </w:pPr>
                  <w:r>
                    <w:rPr>
                      <w:rFonts w:ascii="仿宋_GB2312" w:hAnsi="仿宋_GB2312" w:cs="仿宋_GB2312" w:eastAsia="仿宋_GB2312"/>
                      <w:sz w:val="18"/>
                    </w:rPr>
                    <w:t>4、刷新率≥3840Hz；</w:t>
                  </w:r>
                </w:p>
                <w:p>
                  <w:pPr>
                    <w:pStyle w:val="null3"/>
                  </w:pPr>
                  <w:r>
                    <w:rPr>
                      <w:rFonts w:ascii="仿宋_GB2312" w:hAnsi="仿宋_GB2312" w:cs="仿宋_GB2312" w:eastAsia="仿宋_GB2312"/>
                      <w:sz w:val="18"/>
                    </w:rPr>
                    <w:t>5、亮度均匀性≥98%，色度均匀性为±0.002Cx,Cy之内，最大对比度≥10000：1；</w:t>
                  </w:r>
                </w:p>
                <w:p>
                  <w:pPr>
                    <w:pStyle w:val="null3"/>
                  </w:pPr>
                  <w:r>
                    <w:rPr>
                      <w:rFonts w:ascii="仿宋_GB2312" w:hAnsi="仿宋_GB2312" w:cs="仿宋_GB2312" w:eastAsia="仿宋_GB2312"/>
                      <w:sz w:val="18"/>
                    </w:rPr>
                    <w:t>6、色温调节：1500K-18000K可调；</w:t>
                  </w:r>
                </w:p>
                <w:p>
                  <w:pPr>
                    <w:pStyle w:val="null3"/>
                  </w:pPr>
                  <w:r>
                    <w:rPr>
                      <w:rFonts w:ascii="仿宋_GB2312" w:hAnsi="仿宋_GB2312" w:cs="仿宋_GB2312" w:eastAsia="仿宋_GB2312"/>
                      <w:sz w:val="18"/>
                    </w:rPr>
                    <w:t>7、亮度≥600cd/㎡</w:t>
                  </w:r>
                </w:p>
                <w:p>
                  <w:pPr>
                    <w:pStyle w:val="null3"/>
                  </w:pPr>
                  <w:r>
                    <w:rPr>
                      <w:rFonts w:ascii="仿宋_GB2312" w:hAnsi="仿宋_GB2312" w:cs="仿宋_GB2312" w:eastAsia="仿宋_GB2312"/>
                      <w:sz w:val="18"/>
                    </w:rPr>
                    <w:t>8、可视角：水平屏幕视角≥170°，垂直屏幕视角≥170°；</w:t>
                  </w:r>
                </w:p>
                <w:p>
                  <w:pPr>
                    <w:pStyle w:val="null3"/>
                  </w:pPr>
                  <w:r>
                    <w:rPr>
                      <w:rFonts w:ascii="仿宋_GB2312" w:hAnsi="仿宋_GB2312" w:cs="仿宋_GB2312" w:eastAsia="仿宋_GB2312"/>
                      <w:sz w:val="18"/>
                    </w:rPr>
                    <w:t>9、箱体强度：抗拉强度＞200Mpa，屈服强度＞160Mpa；</w:t>
                  </w:r>
                </w:p>
                <w:p>
                  <w:pPr>
                    <w:pStyle w:val="null3"/>
                  </w:pPr>
                  <w:r>
                    <w:rPr>
                      <w:rFonts w:ascii="仿宋_GB2312" w:hAnsi="仿宋_GB2312" w:cs="仿宋_GB2312" w:eastAsia="仿宋_GB2312"/>
                      <w:sz w:val="18"/>
                    </w:rPr>
                    <w:t>10、箱体拉力与压力测试：抗拉力测试数值≥5000N/㎡，抗压力测试数值≥50000N/㎡</w:t>
                  </w:r>
                </w:p>
                <w:p>
                  <w:pPr>
                    <w:pStyle w:val="null3"/>
                  </w:pPr>
                  <w:r>
                    <w:rPr>
                      <w:rFonts w:ascii="仿宋_GB2312" w:hAnsi="仿宋_GB2312" w:cs="仿宋_GB2312" w:eastAsia="仿宋_GB2312"/>
                      <w:sz w:val="18"/>
                    </w:rPr>
                    <w:t>11、模组与主板采用硬连接，板对板设计，无排线，支持直接热插拔，采用浮动式接插件，接插件镀金≥50μ厚度，具有嵌合纠偏功能，使连接更稳定箱体间连接无外露线材；</w:t>
                  </w:r>
                </w:p>
                <w:p>
                  <w:pPr>
                    <w:pStyle w:val="null3"/>
                  </w:pPr>
                  <w:r>
                    <w:rPr>
                      <w:rFonts w:ascii="仿宋_GB2312" w:hAnsi="仿宋_GB2312" w:cs="仿宋_GB2312" w:eastAsia="仿宋_GB2312"/>
                      <w:sz w:val="18"/>
                    </w:rPr>
                    <w:t>12、灯面采用高分子材料超黑涂层，全哑光设计，反光率≤2%；</w:t>
                  </w:r>
                </w:p>
                <w:p>
                  <w:pPr>
                    <w:pStyle w:val="null3"/>
                  </w:pPr>
                  <w:r>
                    <w:rPr>
                      <w:rFonts w:ascii="仿宋_GB2312" w:hAnsi="仿宋_GB2312" w:cs="仿宋_GB2312" w:eastAsia="仿宋_GB2312"/>
                      <w:sz w:val="18"/>
                    </w:rPr>
                    <w:t>13、支持电源和接收卡双备份功能，任一链路断开或硬件故障均不影响显示</w:t>
                  </w:r>
                </w:p>
                <w:p>
                  <w:pPr>
                    <w:pStyle w:val="null3"/>
                  </w:pPr>
                  <w:r>
                    <w:rPr>
                      <w:rFonts w:ascii="仿宋_GB2312" w:hAnsi="仿宋_GB2312" w:cs="仿宋_GB2312" w:eastAsia="仿宋_GB2312"/>
                      <w:sz w:val="18"/>
                    </w:rPr>
                    <w:t>14、晶片精度：晶片的波长误差值在±1nm之内，每颗发光芯片的亮度误差在5%以内；</w:t>
                  </w:r>
                </w:p>
                <w:p>
                  <w:pPr>
                    <w:pStyle w:val="null3"/>
                  </w:pPr>
                  <w:r>
                    <w:rPr>
                      <w:rFonts w:ascii="仿宋_GB2312" w:hAnsi="仿宋_GB2312" w:cs="仿宋_GB2312" w:eastAsia="仿宋_GB2312"/>
                      <w:sz w:val="18"/>
                    </w:rPr>
                    <w:t>15、发光面光泽度≤10GU。</w:t>
                  </w:r>
                </w:p>
                <w:p>
                  <w:pPr>
                    <w:pStyle w:val="null3"/>
                  </w:pPr>
                  <w:r>
                    <w:rPr>
                      <w:rFonts w:ascii="仿宋_GB2312" w:hAnsi="仿宋_GB2312" w:cs="仿宋_GB2312" w:eastAsia="仿宋_GB2312"/>
                      <w:sz w:val="18"/>
                    </w:rPr>
                    <w:t>16、高集成三合一板卡设计，电源、接收卡、HUB 板一体化，板内无线连接；</w:t>
                  </w:r>
                </w:p>
                <w:p>
                  <w:pPr>
                    <w:pStyle w:val="null3"/>
                  </w:pPr>
                  <w:r>
                    <w:rPr>
                      <w:rFonts w:ascii="仿宋_GB2312" w:hAnsi="仿宋_GB2312" w:cs="仿宋_GB2312" w:eastAsia="仿宋_GB2312"/>
                      <w:sz w:val="18"/>
                    </w:rPr>
                    <w:t>17、维护方式：完全前维护；</w:t>
                  </w:r>
                </w:p>
                <w:p>
                  <w:pPr>
                    <w:pStyle w:val="null3"/>
                  </w:pPr>
                  <w:r>
                    <w:rPr>
                      <w:rFonts w:ascii="仿宋_GB2312" w:hAnsi="仿宋_GB2312" w:cs="仿宋_GB2312" w:eastAsia="仿宋_GB2312"/>
                      <w:sz w:val="18"/>
                    </w:rPr>
                    <w:t>18、PWM恒流源驱动设计，画面延时≤2ms；</w:t>
                  </w:r>
                </w:p>
                <w:p>
                  <w:pPr>
                    <w:pStyle w:val="null3"/>
                  </w:pPr>
                  <w:r>
                    <w:rPr>
                      <w:rFonts w:ascii="仿宋_GB2312" w:hAnsi="仿宋_GB2312" w:cs="仿宋_GB2312" w:eastAsia="仿宋_GB2312"/>
                      <w:sz w:val="18"/>
                    </w:rPr>
                    <w:t>19、支持75%医用酒精进行表面搽试，预防病毒、细菌二次传染；</w:t>
                  </w:r>
                </w:p>
                <w:p>
                  <w:pPr>
                    <w:pStyle w:val="null3"/>
                  </w:pPr>
                  <w:r>
                    <w:rPr>
                      <w:rFonts w:ascii="仿宋_GB2312" w:hAnsi="仿宋_GB2312" w:cs="仿宋_GB2312" w:eastAsia="仿宋_GB2312"/>
                      <w:sz w:val="18"/>
                    </w:rPr>
                    <w:t>20、防霉测试，具备0级防霉特性；</w:t>
                  </w:r>
                </w:p>
                <w:p>
                  <w:pPr>
                    <w:pStyle w:val="null3"/>
                  </w:pPr>
                  <w:r>
                    <w:rPr>
                      <w:rFonts w:ascii="仿宋_GB2312" w:hAnsi="仿宋_GB2312" w:cs="仿宋_GB2312" w:eastAsia="仿宋_GB2312"/>
                      <w:sz w:val="18"/>
                    </w:rPr>
                    <w:t>21、模组与单元箱体间采用磁吸固定方式，磁吸固定点≥ 9 个；</w:t>
                  </w:r>
                </w:p>
                <w:p>
                  <w:pPr>
                    <w:pStyle w:val="null3"/>
                  </w:pPr>
                  <w:r>
                    <w:rPr>
                      <w:rFonts w:ascii="仿宋_GB2312" w:hAnsi="仿宋_GB2312" w:cs="仿宋_GB2312" w:eastAsia="仿宋_GB2312"/>
                      <w:sz w:val="18"/>
                    </w:rPr>
                    <w:t>22、显示屏通过着火危险试验，PCB、塑胶件以及内部线材阻燃等级均符合V-0级要求；</w:t>
                  </w:r>
                </w:p>
                <w:p>
                  <w:pPr>
                    <w:pStyle w:val="null3"/>
                  </w:pPr>
                  <w:r>
                    <w:rPr>
                      <w:rFonts w:ascii="仿宋_GB2312" w:hAnsi="仿宋_GB2312" w:cs="仿宋_GB2312" w:eastAsia="仿宋_GB2312"/>
                      <w:sz w:val="18"/>
                    </w:rPr>
                    <w:t>所投屏体须通过CCC强制认证，不接受OEM产品，要求3C证书中申请人、制造商、生产企业三者名称须一致或为同一集团、法人企业，并提供证书复印件加盖原厂公章。</w:t>
                  </w:r>
                </w:p>
                <w:p>
                  <w:pPr>
                    <w:pStyle w:val="null3"/>
                  </w:pPr>
                  <w:r>
                    <w:rPr>
                      <w:rFonts w:ascii="仿宋_GB2312" w:hAnsi="仿宋_GB2312" w:cs="仿宋_GB2312" w:eastAsia="仿宋_GB2312"/>
                      <w:sz w:val="18"/>
                    </w:rPr>
                    <w:t>以上1-22项功能要求需提供国家权威机构出具的检验报告的，封面需加盖国家CNAS认证的标识章；</w:t>
                  </w:r>
                </w:p>
                <w:p>
                  <w:pPr>
                    <w:pStyle w:val="null3"/>
                  </w:pPr>
                  <w:r>
                    <w:rPr>
                      <w:rFonts w:ascii="仿宋_GB2312" w:hAnsi="仿宋_GB2312" w:cs="仿宋_GB2312" w:eastAsia="仿宋_GB2312"/>
                      <w:sz w:val="18"/>
                    </w:rPr>
                    <w:t>★所投屏体须通过CCC强制认证，不接受OEM产品，提供证书复印件加盖原厂公章；</w:t>
                  </w:r>
                </w:p>
                <w:p>
                  <w:pPr>
                    <w:pStyle w:val="null3"/>
                  </w:pPr>
                  <w:r>
                    <w:rPr>
                      <w:rFonts w:ascii="仿宋_GB2312" w:hAnsi="仿宋_GB2312" w:cs="仿宋_GB2312" w:eastAsia="仿宋_GB2312"/>
                      <w:sz w:val="18"/>
                    </w:rPr>
                    <w:t xml:space="preserve">★制造商需通过ISO9001质量管理体系认证、ISO14001环境管理体系认证、职业健康安全管理体系认证，认证范围需涵盖LED显示屏设计、销售和售后服务等，提供复印件加盖公章；  </w:t>
                  </w:r>
                </w:p>
                <w:p>
                  <w:pPr>
                    <w:pStyle w:val="null3"/>
                  </w:pPr>
                  <w:r>
                    <w:rPr>
                      <w:rFonts w:ascii="仿宋_GB2312" w:hAnsi="仿宋_GB2312" w:cs="仿宋_GB2312" w:eastAsia="仿宋_GB2312"/>
                      <w:sz w:val="18"/>
                    </w:rPr>
                    <w:t>★投标LED显示屏产品的制造与封装工艺评分，生产技术、工艺、质量属于国内外同类产品领先水平，满足国家工信部出具的LED产品制造业单项冠军认定，提供证书复印件并加盖原厂公章；</w:t>
                  </w:r>
                </w:p>
                <w:p>
                  <w:pPr>
                    <w:pStyle w:val="null3"/>
                  </w:pPr>
                  <w:r>
                    <w:rPr>
                      <w:rFonts w:ascii="仿宋_GB2312" w:hAnsi="仿宋_GB2312" w:cs="仿宋_GB2312" w:eastAsia="仿宋_GB2312"/>
                      <w:sz w:val="18"/>
                    </w:rPr>
                    <w:t>★LED显示屏设计生产具有先进性、领先性，生产厂家提供智能制造能力成熟度二级或以上等级证书复印件并加盖原厂公章；</w:t>
                  </w:r>
                </w:p>
                <w:p>
                  <w:pPr>
                    <w:pStyle w:val="null3"/>
                  </w:pPr>
                  <w:r>
                    <w:rPr>
                      <w:rFonts w:ascii="仿宋_GB2312" w:hAnsi="仿宋_GB2312" w:cs="仿宋_GB2312" w:eastAsia="仿宋_GB2312"/>
                      <w:sz w:val="18"/>
                    </w:rPr>
                    <w:t>所投屏体需通过光生物安全及蓝光危害检测，提供检测报告复印件并加盖厂家公章；</w:t>
                  </w:r>
                </w:p>
                <w:p>
                  <w:pPr>
                    <w:pStyle w:val="null3"/>
                  </w:pPr>
                  <w:r>
                    <w:rPr>
                      <w:rFonts w:ascii="仿宋_GB2312" w:hAnsi="仿宋_GB2312" w:cs="仿宋_GB2312" w:eastAsia="仿宋_GB2312"/>
                      <w:sz w:val="18"/>
                    </w:rPr>
                    <w:t>所投屏体需通过CQC、环境标志（II）型、8K超高清认证、绿色健康A级、色彩品质、视觉健康认证，提供复印件并加盖厂家公章；</w:t>
                  </w:r>
                </w:p>
              </w:tc>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31.59</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238"/>
              <w:gridCol w:w="1737"/>
              <w:gridCol w:w="222"/>
              <w:gridCol w:w="166"/>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视频拼接器</w:t>
                  </w:r>
                </w:p>
              </w:tc>
              <w:tc>
                <w:tcPr>
                  <w:tcW w:type="dxa" w:w="1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1、系统为基于FPGA的纯硬件架构设计，采用基于业界领先的CrossPoint矩阵总线交换技术，项目要求输入至少配置2张HDMI2.0+2路DP1.2输入卡+2张12G-SDI输入卡。输出至少配置40路网口。</w:t>
                  </w:r>
                </w:p>
                <w:p>
                  <w:pPr>
                    <w:pStyle w:val="null3"/>
                  </w:pPr>
                  <w:r>
                    <w:rPr>
                      <w:rFonts w:ascii="仿宋_GB2312" w:hAnsi="仿宋_GB2312" w:cs="仿宋_GB2312" w:eastAsia="仿宋_GB2312"/>
                      <w:sz w:val="18"/>
                    </w:rPr>
                    <w:t>2、设备前面板内嵌IPS液晶屏，采用LED背光设计，无需连接额外电脑和软件，在设备端即可查看监控设备运行参数与状态，并实时查看设备名称、设备接口连接状态、运行状态（温度、电压、风扇），以及IP地址，方便快捷；</w:t>
                  </w:r>
                </w:p>
                <w:p>
                  <w:pPr>
                    <w:pStyle w:val="null3"/>
                  </w:pPr>
                  <w:r>
                    <w:rPr>
                      <w:rFonts w:ascii="仿宋_GB2312" w:hAnsi="仿宋_GB2312" w:cs="仿宋_GB2312" w:eastAsia="仿宋_GB2312"/>
                      <w:sz w:val="18"/>
                    </w:rPr>
                    <w:t>3、支持DVI、HDMI、DP、3GSDI、12GSDI、VGA、CVBS、IP等信号输入，支持WIFI投屏设备信号输入，支持HDMI、DVI、网口、光口输出；</w:t>
                  </w:r>
                </w:p>
                <w:p>
                  <w:pPr>
                    <w:pStyle w:val="null3"/>
                  </w:pPr>
                  <w:r>
                    <w:rPr>
                      <w:rFonts w:ascii="仿宋_GB2312" w:hAnsi="仿宋_GB2312" w:cs="仿宋_GB2312" w:eastAsia="仿宋_GB2312"/>
                      <w:sz w:val="18"/>
                    </w:rPr>
                    <w:t>4、所有板卡可长时间连续工作，即启即用，快速启动； 输入或输出板卡支持热插拔功能，设备无需关机重启和设置，更换板卡后快速恢复之前图层数据，保证画面正常播放，可实现板卡灵活更换，维护便捷；</w:t>
                  </w:r>
                </w:p>
                <w:p>
                  <w:pPr>
                    <w:pStyle w:val="null3"/>
                  </w:pPr>
                  <w:r>
                    <w:rPr>
                      <w:rFonts w:ascii="仿宋_GB2312" w:hAnsi="仿宋_GB2312" w:cs="仿宋_GB2312" w:eastAsia="仿宋_GB2312"/>
                      <w:sz w:val="18"/>
                    </w:rPr>
                    <w:t>5、支持全链路真4K处理，单通道最大支持4096×2160@60Hz输出信号，RGB 4:4:4/YCbCr 4:4:4, 实现超大分讲率的60Hz流畅图像显示与处理，无卡顿， 不丢帧，画面细节呈现完整；</w:t>
                  </w:r>
                </w:p>
                <w:p>
                  <w:pPr>
                    <w:pStyle w:val="null3"/>
                  </w:pPr>
                  <w:r>
                    <w:rPr>
                      <w:rFonts w:ascii="仿宋_GB2312" w:hAnsi="仿宋_GB2312" w:cs="仿宋_GB2312" w:eastAsia="仿宋_GB2312"/>
                      <w:sz w:val="18"/>
                    </w:rPr>
                    <w:t>6、单个输出板卡最大支持16 个窗口，输出卡最大输出视频分辨率为5120 X 2048 或10240 X 972，带载宽度和高度最大可达10240；</w:t>
                  </w:r>
                </w:p>
                <w:p>
                  <w:pPr>
                    <w:pStyle w:val="null3"/>
                  </w:pPr>
                  <w:r>
                    <w:rPr>
                      <w:rFonts w:ascii="仿宋_GB2312" w:hAnsi="仿宋_GB2312" w:cs="仿宋_GB2312" w:eastAsia="仿宋_GB2312"/>
                      <w:sz w:val="18"/>
                    </w:rPr>
                    <w:t>7、处理器支持活动视频、高清信号显示，整个拼接屏可被看作整块没有分隔的虚拟屏，也可以按照需要灵活分区显示，所有信号窗口应能在整屏范围内任意缩放、漫游， 叠加、跨屏显示、叠加覆盖，相互之间不受影响；支持视频窗口任意大小、任意位置、任意叠加方式实时显示；</w:t>
                  </w:r>
                </w:p>
                <w:p>
                  <w:pPr>
                    <w:pStyle w:val="null3"/>
                  </w:pPr>
                  <w:r>
                    <w:rPr>
                      <w:rFonts w:ascii="仿宋_GB2312" w:hAnsi="仿宋_GB2312" w:cs="仿宋_GB2312" w:eastAsia="仿宋_GB2312"/>
                      <w:sz w:val="18"/>
                    </w:rPr>
                    <w:t>8、支持输入、输出分辨率自定义设置，可保存为EDID 模板，并可导入导出，多种分辨率设置模式可选，包括：预设分辨率、自定义分辨率、EDID 模板， 自定义分辨率最大支持8Kx1K: 支持高级时序设置；</w:t>
                  </w:r>
                </w:p>
                <w:p>
                  <w:pPr>
                    <w:pStyle w:val="null3"/>
                  </w:pPr>
                  <w:r>
                    <w:rPr>
                      <w:rFonts w:ascii="仿宋_GB2312" w:hAnsi="仿宋_GB2312" w:cs="仿宋_GB2312" w:eastAsia="仿宋_GB2312"/>
                      <w:sz w:val="18"/>
                    </w:rPr>
                    <w:t>9、单个输出卡可同时输出4 路或4 路以上最大支持创建4 个屏幕；支持屏幕非规则建屏，跨接口建屏不减图层，单卡单接口建屏；</w:t>
                  </w:r>
                </w:p>
                <w:p>
                  <w:pPr>
                    <w:pStyle w:val="null3"/>
                  </w:pPr>
                  <w:r>
                    <w:rPr>
                      <w:rFonts w:ascii="仿宋_GB2312" w:hAnsi="仿宋_GB2312" w:cs="仿宋_GB2312" w:eastAsia="仿宋_GB2312"/>
                      <w:sz w:val="18"/>
                    </w:rPr>
                    <w:t>10、支持自适应动态灰度PMC 功能，扩展亮度动态范围， 提升图片色彩与层次，最大16 级可调；</w:t>
                  </w:r>
                </w:p>
                <w:p>
                  <w:pPr>
                    <w:pStyle w:val="null3"/>
                  </w:pPr>
                  <w:r>
                    <w:rPr>
                      <w:rFonts w:ascii="仿宋_GB2312" w:hAnsi="仿宋_GB2312" w:cs="仿宋_GB2312" w:eastAsia="仿宋_GB2312"/>
                      <w:sz w:val="18"/>
                    </w:rPr>
                    <w:t>11、每个拼接屏幕支持1 个BKG（背景图）叠加显示，BKG 不占用图层资源，支持重命名设置，可实现自动全屏缩放，宽度和高度可同时设置到15360 , BKG 尺寸支持设置为15360x4096 点对点显示；</w:t>
                  </w:r>
                </w:p>
                <w:p>
                  <w:pPr>
                    <w:pStyle w:val="null3"/>
                  </w:pPr>
                  <w:r>
                    <w:rPr>
                      <w:rFonts w:ascii="仿宋_GB2312" w:hAnsi="仿宋_GB2312" w:cs="仿宋_GB2312" w:eastAsia="仿宋_GB2312"/>
                      <w:sz w:val="18"/>
                    </w:rPr>
                    <w:t>12、支持Genlock 接入，采用独创的亚像素级像素同步处理技术，完美实现设备输出接口或多台设备间的超大分辨率屏幕的完美拼接同步显示，从根本上消除了拼接缝和图像撕裂问题，支持所有输出图像在&lt;60ms 内同步；</w:t>
                  </w:r>
                </w:p>
                <w:p>
                  <w:pPr>
                    <w:pStyle w:val="null3"/>
                  </w:pPr>
                  <w:r>
                    <w:rPr>
                      <w:rFonts w:ascii="仿宋_GB2312" w:hAnsi="仿宋_GB2312" w:cs="仿宋_GB2312" w:eastAsia="仿宋_GB2312"/>
                      <w:sz w:val="18"/>
                    </w:rPr>
                    <w:t>13、设备可靠性高， 平均无故障运行时间(MTBF) 达到15万小时，平均故障修复时间（MTTR）不超过5分钟，满足7×24小时长时间稳定运行的要求；</w:t>
                  </w:r>
                </w:p>
                <w:p>
                  <w:pPr>
                    <w:pStyle w:val="null3"/>
                  </w:pPr>
                  <w:r>
                    <w:rPr>
                      <w:rFonts w:ascii="仿宋_GB2312" w:hAnsi="仿宋_GB2312" w:cs="仿宋_GB2312" w:eastAsia="仿宋_GB2312"/>
                      <w:sz w:val="18"/>
                    </w:rPr>
                    <w:t>（以上参数所有条款均需提供报告封面具有CNAS机构标识认可的第三方检测报告复印件并加盖制造商公章。）</w:t>
                  </w:r>
                </w:p>
                <w:p>
                  <w:pPr>
                    <w:pStyle w:val="null3"/>
                  </w:pPr>
                  <w:r>
                    <w:rPr>
                      <w:rFonts w:ascii="仿宋_GB2312" w:hAnsi="仿宋_GB2312" w:cs="仿宋_GB2312" w:eastAsia="仿宋_GB2312"/>
                      <w:sz w:val="18"/>
                    </w:rPr>
                    <w:t>14、为保证系统兼容性图像拼接器与全彩LED显示屏为同一品牌产品，提供产品3C认证证书复印件并加盖制造商公章。</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台</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5"/>
              <w:gridCol w:w="235"/>
              <w:gridCol w:w="1740"/>
              <w:gridCol w:w="220"/>
              <w:gridCol w:w="170"/>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控制软件</w:t>
                  </w:r>
                </w:p>
              </w:tc>
              <w:tc>
                <w:tcPr>
                  <w:tcW w:type="dxa" w:w="1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1、系统支持多用户登录，用户数量无上限， 多用户操作同步实现多人协同办公，单个客户端操作，会在其他客户端进行同步显示，确保操作实时性；</w:t>
                  </w:r>
                </w:p>
                <w:p>
                  <w:pPr>
                    <w:pStyle w:val="null3"/>
                  </w:pPr>
                  <w:r>
                    <w:rPr>
                      <w:rFonts w:ascii="仿宋_GB2312" w:hAnsi="仿宋_GB2312" w:cs="仿宋_GB2312" w:eastAsia="仿宋_GB2312"/>
                      <w:sz w:val="18"/>
                    </w:rPr>
                    <w:t>2、提供精细地权限管理设置，根据组织结构划分用户操作范围；可针对每个信号 源或屏幕进行单独权限设置，同时也可根据功能模块进行授权；</w:t>
                  </w:r>
                </w:p>
                <w:p>
                  <w:pPr>
                    <w:pStyle w:val="null3"/>
                  </w:pPr>
                  <w:r>
                    <w:rPr>
                      <w:rFonts w:ascii="仿宋_GB2312" w:hAnsi="仿宋_GB2312" w:cs="仿宋_GB2312" w:eastAsia="仿宋_GB2312"/>
                      <w:sz w:val="18"/>
                    </w:rPr>
                    <w:t>3、支持预案（场景）管理及预案（场景） 收藏夹，实现对全屏布局的快速切换应用；可以进行自动的预案（场景）轮巡应用；</w:t>
                  </w:r>
                </w:p>
                <w:p>
                  <w:pPr>
                    <w:pStyle w:val="null3"/>
                  </w:pPr>
                  <w:r>
                    <w:rPr>
                      <w:rFonts w:ascii="仿宋_GB2312" w:hAnsi="仿宋_GB2312" w:cs="仿宋_GB2312" w:eastAsia="仿宋_GB2312"/>
                      <w:sz w:val="18"/>
                    </w:rPr>
                    <w:t>4、具备中控管理功能，可以对灯光、音响、 窗帘、投影、大屏等设备进行集中管理并提供第三方矩阵接入控制和PLC 配电柜(箱)及其它智能配电柜(箱)控制；</w:t>
                  </w:r>
                </w:p>
                <w:p>
                  <w:pPr>
                    <w:pStyle w:val="null3"/>
                  </w:pPr>
                  <w:r>
                    <w:rPr>
                      <w:rFonts w:ascii="仿宋_GB2312" w:hAnsi="仿宋_GB2312" w:cs="仿宋_GB2312" w:eastAsia="仿宋_GB2312"/>
                      <w:sz w:val="18"/>
                    </w:rPr>
                    <w:t>5、支持通过可视化方式查看系统拓扑、设备链路和接口信息，并与底层数据保持同步更新，实时反映系统运行状态，可清晰直观的处理系统运维工作；</w:t>
                  </w:r>
                </w:p>
                <w:p>
                  <w:pPr>
                    <w:pStyle w:val="null3"/>
                  </w:pPr>
                  <w:r>
                    <w:rPr>
                      <w:rFonts w:ascii="仿宋_GB2312" w:hAnsi="仿宋_GB2312" w:cs="仿宋_GB2312" w:eastAsia="仿宋_GB2312"/>
                      <w:sz w:val="18"/>
                    </w:rPr>
                    <w:t>6、可配置运维管理功能，支持运维记录上传，用户与运维工程师的运维记录实时同步更新，保障系统的正常运行；</w:t>
                  </w:r>
                </w:p>
                <w:p>
                  <w:pPr>
                    <w:pStyle w:val="null3"/>
                  </w:pPr>
                  <w:r>
                    <w:rPr>
                      <w:rFonts w:ascii="仿宋_GB2312" w:hAnsi="仿宋_GB2312" w:cs="仿宋_GB2312" w:eastAsia="仿宋_GB2312"/>
                      <w:sz w:val="18"/>
                    </w:rPr>
                    <w:t>7、支持 iOS 移动端或 Android 移动端控制；</w:t>
                  </w:r>
                </w:p>
                <w:p>
                  <w:pPr>
                    <w:pStyle w:val="null3"/>
                  </w:pPr>
                  <w:r>
                    <w:rPr>
                      <w:rFonts w:ascii="仿宋_GB2312" w:hAnsi="仿宋_GB2312" w:cs="仿宋_GB2312" w:eastAsia="仿宋_GB2312"/>
                      <w:sz w:val="18"/>
                    </w:rPr>
                    <w:t>（以上参数所有条款均需提供报告封面具有CNAS机构标识认可的第三方检测报告复印件并加盖制造商公章。）</w:t>
                  </w:r>
                </w:p>
                <w:p>
                  <w:pPr>
                    <w:pStyle w:val="null3"/>
                  </w:pPr>
                  <w:r>
                    <w:rPr>
                      <w:rFonts w:ascii="仿宋_GB2312" w:hAnsi="仿宋_GB2312" w:cs="仿宋_GB2312" w:eastAsia="仿宋_GB2312"/>
                      <w:sz w:val="18"/>
                    </w:rPr>
                    <w:t>8、投标人所投产品的制造商需具有能力成熟度达CMMI4以上（含CMMI4）。（提供复印件加盖原厂公章）</w:t>
                  </w:r>
                </w:p>
                <w:p>
                  <w:pPr>
                    <w:pStyle w:val="null3"/>
                  </w:pPr>
                  <w:r>
                    <w:rPr>
                      <w:rFonts w:ascii="仿宋_GB2312" w:hAnsi="仿宋_GB2312" w:cs="仿宋_GB2312" w:eastAsia="仿宋_GB2312"/>
                      <w:sz w:val="18"/>
                    </w:rPr>
                    <w:t>9、为保证兼容性，所投系统需与显示屏为同一品牌。(需提供软件著作权证书)</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套</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238"/>
              <w:gridCol w:w="1739"/>
              <w:gridCol w:w="217"/>
              <w:gridCol w:w="165"/>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配电柜</w:t>
                  </w:r>
                </w:p>
              </w:tc>
              <w:tc>
                <w:tcPr>
                  <w:tcW w:type="dxa" w:w="1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1、配电柜类型：15KW</w:t>
                  </w:r>
                </w:p>
                <w:p>
                  <w:pPr>
                    <w:pStyle w:val="null3"/>
                  </w:pPr>
                  <w:r>
                    <w:rPr>
                      <w:rFonts w:ascii="仿宋_GB2312" w:hAnsi="仿宋_GB2312" w:cs="仿宋_GB2312" w:eastAsia="仿宋_GB2312"/>
                      <w:sz w:val="18"/>
                    </w:rPr>
                    <w:t>2、显示屏整个系统包括显示屏的开关的控制实现远程控制（在总控制室控制）智能上电系统。</w:t>
                  </w:r>
                </w:p>
                <w:p>
                  <w:pPr>
                    <w:pStyle w:val="null3"/>
                  </w:pPr>
                  <w:r>
                    <w:rPr>
                      <w:rFonts w:ascii="仿宋_GB2312" w:hAnsi="仿宋_GB2312" w:cs="仿宋_GB2312" w:eastAsia="仿宋_GB2312"/>
                      <w:sz w:val="18"/>
                    </w:rPr>
                    <w:t>3、通过该系统可以实现对小间距显示屏的远程有线控制上电，实现定时开关屏体，方便用户的使用。</w:t>
                  </w:r>
                </w:p>
                <w:p>
                  <w:pPr>
                    <w:pStyle w:val="null3"/>
                  </w:pPr>
                  <w:r>
                    <w:rPr>
                      <w:rFonts w:ascii="仿宋_GB2312" w:hAnsi="仿宋_GB2312" w:cs="仿宋_GB2312" w:eastAsia="仿宋_GB2312"/>
                      <w:sz w:val="18"/>
                    </w:rPr>
                    <w:t>4、同时，屏体采用“分步加电”的上电方式，既要避免大负载对电网瞬间的冲击，又要有效地保护显示屏体的工作组件，延长屏体的使用寿命。</w:t>
                  </w:r>
                </w:p>
                <w:p>
                  <w:pPr>
                    <w:pStyle w:val="null3"/>
                  </w:pPr>
                  <w:r>
                    <w:rPr>
                      <w:rFonts w:ascii="仿宋_GB2312" w:hAnsi="仿宋_GB2312" w:cs="仿宋_GB2312" w:eastAsia="仿宋_GB2312"/>
                      <w:sz w:val="18"/>
                    </w:rPr>
                    <w:t>★为保证兼容性，所投配电系统和LED显示屏必须为同一品牌（须提供证明材料）</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台</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3"/>
              <w:gridCol w:w="239"/>
              <w:gridCol w:w="1741"/>
              <w:gridCol w:w="219"/>
              <w:gridCol w:w="168"/>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LED屏支架</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室内全彩显示屏配套支架。</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套</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合同签订后，乙方须按其响应文件中响应的交货期按时交货、安装调试完毕并验收合格后，提供全额合规发票保证“货票同行”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1）合同文本及合同补充文件（条款）。2）招标文件及中标人的投标文件。3）货物清单。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自签订供货合同，验收合格之日起1年。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成交供应商需要提交响应文件正本壹份、副本贰份、电子版U盘贰份，标明供应商名称。递交地点:陕西省西安市高新区高新六路21号万象汇街区T6座1501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供应商报价是固定价且未超过预算金额（谈判文件有最高限价的，报价未超过最高限价）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技术参数偏离表.docx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技术参数偏离表.docx 供应商应提交的相关资格证明材料.docx 标的清单 报价表 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其他无效情形1.响应文件有效期2.响应文件格式3.备选方案4.响应文件内容5.技术响应6.履行期限和交货地点7.质保期8.付款方式</w:t>
            </w:r>
          </w:p>
        </w:tc>
        <w:tc>
          <w:tcPr>
            <w:tcW w:type="dxa" w:w="3322"/>
          </w:tcPr>
          <w:p>
            <w:pPr>
              <w:pStyle w:val="null3"/>
            </w:pPr>
            <w:r>
              <w:rPr>
                <w:rFonts w:ascii="仿宋_GB2312" w:hAnsi="仿宋_GB2312" w:cs="仿宋_GB2312" w:eastAsia="仿宋_GB2312"/>
              </w:rPr>
              <w:t>无法律、法规和谈判文件规定的其他无效情形；1.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谈判文件不允许偏差时，响应文件无负偏差。</w:t>
            </w:r>
          </w:p>
        </w:tc>
        <w:tc>
          <w:tcPr>
            <w:tcW w:type="dxa" w:w="1661"/>
          </w:tcPr>
          <w:p>
            <w:pPr>
              <w:pStyle w:val="null3"/>
            </w:pPr>
            <w:r>
              <w:rPr>
                <w:rFonts w:ascii="仿宋_GB2312" w:hAnsi="仿宋_GB2312" w:cs="仿宋_GB2312" w:eastAsia="仿宋_GB2312"/>
              </w:rPr>
              <w:t>响应文件封面 技术参数偏离表.docx 供应商应提交的相关资格证明材料.docx 中小企业声明函 标的清单 报价表 响应函 商务偏离表.docx 投标方案及其他.docx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详见附件：投标方案及其他.docx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