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版本号：HCGJ-CGZB-202505220250709001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2025年度农产品质量安全专项和应急风险监测项目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HCGJ-CGZB-2025052</w:t>
      </w:r>
      <w:r>
        <w:br/>
      </w:r>
      <w:r>
        <w:br/>
      </w:r>
      <w:r>
        <w:br/>
      </w:r>
    </w:p>
    <w:p>
      <w:pPr>
        <w:pStyle w:val="null3"/>
        <w:jc w:val="center"/>
        <w:outlineLvl w:val="2"/>
      </w:pPr>
      <w:r>
        <w:rPr>
          <w:rFonts w:ascii="仿宋_GB2312" w:hAnsi="仿宋_GB2312" w:cs="仿宋_GB2312" w:eastAsia="仿宋_GB2312"/>
          <w:sz w:val="28"/>
          <w:b/>
        </w:rPr>
        <w:t>西安市农业农村局（本级）</w:t>
      </w:r>
    </w:p>
    <w:p>
      <w:pPr>
        <w:pStyle w:val="null3"/>
        <w:jc w:val="center"/>
        <w:outlineLvl w:val="2"/>
      </w:pPr>
      <w:r>
        <w:rPr>
          <w:rFonts w:ascii="仿宋_GB2312" w:hAnsi="仿宋_GB2312" w:cs="仿宋_GB2312" w:eastAsia="仿宋_GB2312"/>
          <w:sz w:val="28"/>
          <w:b/>
        </w:rPr>
        <w:t>红城国际工程项目管理有限公司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红城国际工程项目管理有限公司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西安市农业农村局（本级）</w:t>
      </w:r>
      <w:r>
        <w:rPr>
          <w:rFonts w:ascii="仿宋_GB2312" w:hAnsi="仿宋_GB2312" w:cs="仿宋_GB2312" w:eastAsia="仿宋_GB2312"/>
        </w:rPr>
        <w:t>委托，拟对</w:t>
      </w:r>
      <w:r>
        <w:rPr>
          <w:rFonts w:ascii="仿宋_GB2312" w:hAnsi="仿宋_GB2312" w:cs="仿宋_GB2312" w:eastAsia="仿宋_GB2312"/>
        </w:rPr>
        <w:t>2025年度农产品质量安全专项和应急风险监测项目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HCGJ-CGZB-2025052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2025年度农产品质量安全专项和应急风险监测项目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包1：2025年度农产品质量安全专项和应急风险监测（第一标段）；（西安市辖区内农产品批发市场、零售市场、早市及收储运环节，共抽检1500批次农产品样品。其中采购包1为新城区、莲湖区、碑林区共抽检样品800批次（含重点品种200批次）。） 采购包2：2025年度农产品质量安全专项和应急风险监测（第二标段）；（西安市辖区内农产品批发市场、零售市场、早市及收储运环节，共抽检1500批次农产品样品。其中采购包2为雁塔区、未央区、经开区、浐灞国际港共抽检样品700批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采购包1（2025年度农产品质量安全专项和应急风险监测（第一标段））：属于专门面向中小企业采购。</w:t>
      </w:r>
    </w:p>
    <w:p>
      <w:pPr>
        <w:pStyle w:val="null3"/>
      </w:pPr>
      <w:r>
        <w:rPr>
          <w:rFonts w:ascii="仿宋_GB2312" w:hAnsi="仿宋_GB2312" w:cs="仿宋_GB2312" w:eastAsia="仿宋_GB2312"/>
        </w:rPr>
        <w:t>采购包2（2025年度农产品质量安全专项和应急风险监测（第二标段））：属于专门面向中小企业采购。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2、有依法缴纳社会保障资金的良好记录：提供2025年1月至今已缴纳的至少一个月的社会保障资金缴存单据或社保机构开具的社会保险参保缴费情况证明。依法不需要缴纳社会保障资金的单位应提供相关证明材料；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3、有依法缴纳税收的良好记录：提供2025年1月至今已缴纳的至少一个月的纳税证明或完税证明（时间以税款所属日期为准、税种须包含增值税或企业所得税），依法免税的单位应提供相关证明材料；</w:t>
      </w:r>
    </w:p>
    <w:p>
      <w:pPr>
        <w:pStyle w:val="null3"/>
      </w:pPr>
      <w:r>
        <w:rPr>
          <w:rFonts w:ascii="仿宋_GB2312" w:hAnsi="仿宋_GB2312" w:cs="仿宋_GB2312" w:eastAsia="仿宋_GB2312"/>
        </w:rPr>
        <w:t>4、无重大违法记录声明：参加本次政府采购活动前3年内在经营活动中没有重大违法记录的书面声明（提供声明）；</w:t>
      </w:r>
    </w:p>
    <w:p>
      <w:pPr>
        <w:pStyle w:val="null3"/>
      </w:pPr>
      <w:r>
        <w:rPr>
          <w:rFonts w:ascii="仿宋_GB2312" w:hAnsi="仿宋_GB2312" w:cs="仿宋_GB2312" w:eastAsia="仿宋_GB2312"/>
        </w:rPr>
        <w:t>5、具有良好的商业信誉：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6、具有履行合同能力声明：具有履行合同所必需的设备和专业技术能力（提供声明）；</w:t>
      </w:r>
    </w:p>
    <w:p>
      <w:pPr>
        <w:pStyle w:val="null3"/>
      </w:pPr>
      <w:r>
        <w:rPr>
          <w:rFonts w:ascii="仿宋_GB2312" w:hAnsi="仿宋_GB2312" w:cs="仿宋_GB2312" w:eastAsia="仿宋_GB2312"/>
        </w:rPr>
        <w:t>7、法定代表人证明书或法定代表人授权书：法定代表人参加投标的，须提供法定代表人证明书及本人身份证复印件；法定代表人授权他人参加投标的，须提供法定代表人授权委托书并附授权代表的身份证复印件；</w:t>
      </w:r>
    </w:p>
    <w:p>
      <w:pPr>
        <w:pStyle w:val="null3"/>
      </w:pPr>
      <w:r>
        <w:rPr>
          <w:rFonts w:ascii="仿宋_GB2312" w:hAnsi="仿宋_GB2312" w:cs="仿宋_GB2312" w:eastAsia="仿宋_GB2312"/>
        </w:rPr>
        <w:t>8、投标人关联关系声明：单位负责人为同一人或者存在直接控股、管理关系的不同投标人，不得参加同一合同项下的政府采购活动；（提供承诺书）；</w:t>
      </w:r>
    </w:p>
    <w:p>
      <w:pPr>
        <w:pStyle w:val="null3"/>
      </w:pPr>
      <w:r>
        <w:rPr>
          <w:rFonts w:ascii="仿宋_GB2312" w:hAnsi="仿宋_GB2312" w:cs="仿宋_GB2312" w:eastAsia="仿宋_GB2312"/>
        </w:rPr>
        <w:t>9、企业资质：供应商具备合法有效的CMA检验检测机构资质认定证书、CATL农产品质量安全检测机构考核证书，且证书在有效期内，证书附表满足规定的能力和方法要求，覆盖率100%；</w:t>
      </w:r>
    </w:p>
    <w:p>
      <w:pPr>
        <w:pStyle w:val="null3"/>
      </w:pPr>
      <w:r>
        <w:rPr>
          <w:rFonts w:ascii="仿宋_GB2312" w:hAnsi="仿宋_GB2312" w:cs="仿宋_GB2312" w:eastAsia="仿宋_GB2312"/>
        </w:rPr>
        <w:t>10、非联合体投标：本项目不接受联合体投标。（提供声明）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1、营业执照等主体资格证明文件：供应商应是独立承担民事责任能力的法人、其他组织或自然人，法人、其他组织须提供合法有效的营业执照(或事业单位法人证书)等证明资料，自然人须提供身份证明；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2、有依法缴纳社会保障资金的良好记录：提供2025年1月至今已缴纳的至少一个月的社会保障资金缴存单据或社保机构开具的社会保险参保缴费情况证明。依法不需要缴纳社会保障资金的单位应提供相关证明材料；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3、有依法缴纳税收的良好记录：提供2025年1月至今已缴纳的至少一个月的纳税证明或完税证明（时间以税款所属日期为准、税种须包含增值税或企业所得税），依法免税的单位应提供相关证明材料；</w:t>
      </w:r>
    </w:p>
    <w:p>
      <w:pPr>
        <w:pStyle w:val="null3"/>
      </w:pPr>
      <w:r>
        <w:rPr>
          <w:rFonts w:ascii="仿宋_GB2312" w:hAnsi="仿宋_GB2312" w:cs="仿宋_GB2312" w:eastAsia="仿宋_GB2312"/>
        </w:rPr>
        <w:t>4、无重大违法记录声明：参加本次政府采购活动前3年内在经营活动中没有重大违法记录的书面声明（提供声明）；</w:t>
      </w:r>
    </w:p>
    <w:p>
      <w:pPr>
        <w:pStyle w:val="null3"/>
      </w:pPr>
      <w:r>
        <w:rPr>
          <w:rFonts w:ascii="仿宋_GB2312" w:hAnsi="仿宋_GB2312" w:cs="仿宋_GB2312" w:eastAsia="仿宋_GB2312"/>
        </w:rPr>
        <w:t>5、具有良好的商业信誉：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6、具有履行合同能力声明：具有履行合同所必需的设备和专业技术能力（提供声明）；</w:t>
      </w:r>
    </w:p>
    <w:p>
      <w:pPr>
        <w:pStyle w:val="null3"/>
      </w:pPr>
      <w:r>
        <w:rPr>
          <w:rFonts w:ascii="仿宋_GB2312" w:hAnsi="仿宋_GB2312" w:cs="仿宋_GB2312" w:eastAsia="仿宋_GB2312"/>
        </w:rPr>
        <w:t>7、法定代表人证明书或法定代表人授权书：法定代表人参加投标的，须提供法定代表人证明书及本人身份证复印件；法定代表人授权他人参加投标的，须提供法定代表人授权委托书并附授权代表的身份证复印件；</w:t>
      </w:r>
    </w:p>
    <w:p>
      <w:pPr>
        <w:pStyle w:val="null3"/>
      </w:pPr>
      <w:r>
        <w:rPr>
          <w:rFonts w:ascii="仿宋_GB2312" w:hAnsi="仿宋_GB2312" w:cs="仿宋_GB2312" w:eastAsia="仿宋_GB2312"/>
        </w:rPr>
        <w:t>8、投标人关联关系声明：单位负责人为同一人或者存在直接控股、管理关系的不同投标人，不得参加同一合同项下的政府采购活动；（提供承诺书）；</w:t>
      </w:r>
    </w:p>
    <w:p>
      <w:pPr>
        <w:pStyle w:val="null3"/>
      </w:pPr>
      <w:r>
        <w:rPr>
          <w:rFonts w:ascii="仿宋_GB2312" w:hAnsi="仿宋_GB2312" w:cs="仿宋_GB2312" w:eastAsia="仿宋_GB2312"/>
        </w:rPr>
        <w:t>9、企业资质：供应商具备合法有效的CMA检验检测机构资质认定证书、CATL农产品质量安全检测机构考核证书，且证书在有效期内，证书附表满足规定的能力和方法要求，覆盖率100%；</w:t>
      </w:r>
    </w:p>
    <w:p>
      <w:pPr>
        <w:pStyle w:val="null3"/>
      </w:pPr>
      <w:r>
        <w:rPr>
          <w:rFonts w:ascii="仿宋_GB2312" w:hAnsi="仿宋_GB2312" w:cs="仿宋_GB2312" w:eastAsia="仿宋_GB2312"/>
        </w:rPr>
        <w:t>10、非联合体投标：本项目不接受联合体投标。（提供声明）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西安市农业农村局（本级）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029-86787509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红城国际工程项目管理有限公司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陕西省西安市雁塔区陕西省西安市高新区高新六路21号CROSS万象汇6幢1单元7层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13488018663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采购包1：586,700.00元</w:t>
            </w:r>
          </w:p>
          <w:p>
            <w:pPr>
              <w:pStyle w:val="null3"/>
            </w:pPr>
            <w:r>
              <w:rPr>
                <w:rFonts w:ascii="仿宋_GB2312" w:hAnsi="仿宋_GB2312" w:cs="仿宋_GB2312" w:eastAsia="仿宋_GB2312"/>
              </w:rPr>
              <w:t>采购包2：513,300.00元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按国家计委关于印发《招标代理服务收费管理暂行办法》的通知（计价格〔2002〕1980号）和国家发改委颁发的《关于降低部分建设项目收费标准规范收费行为等有关问题的通知》（发改办价格[2011]534号）规定以成交供应商的成交价格为基数收取，不足伍仟元时按伍仟元（人民币：5000元）收取。 2.采购代理服务费由中标（成交）供应商一次性支付。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西安市农业农村局（本级）</w:t>
      </w:r>
      <w:r>
        <w:rPr>
          <w:rFonts w:ascii="仿宋_GB2312" w:hAnsi="仿宋_GB2312" w:cs="仿宋_GB2312" w:eastAsia="仿宋_GB2312"/>
        </w:rPr>
        <w:t>和</w:t>
      </w:r>
      <w:r>
        <w:rPr>
          <w:rFonts w:ascii="仿宋_GB2312" w:hAnsi="仿宋_GB2312" w:cs="仿宋_GB2312" w:eastAsia="仿宋_GB2312"/>
        </w:rPr>
        <w:t>红城国际工程项目管理有限公司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西安市农业农村局（本级）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红城国际工程项目管理有限公司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西安市农业农村局（本级）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红城国际工程项目管理有限公司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按采购人要求进行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按采购人要求进行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红城国际工程项目管理有限公司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红城国际工程项目管理有限公司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红城国际工程项目管理有限公司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 xml:space="preserve">联系人：刘苗 </w:t>
      </w:r>
    </w:p>
    <w:p>
      <w:pPr>
        <w:pStyle w:val="null3"/>
      </w:pPr>
      <w:r>
        <w:rPr>
          <w:rFonts w:ascii="仿宋_GB2312" w:hAnsi="仿宋_GB2312" w:cs="仿宋_GB2312" w:eastAsia="仿宋_GB2312"/>
        </w:rPr>
        <w:t>联系电话：13488018663</w:t>
      </w:r>
    </w:p>
    <w:p>
      <w:pPr>
        <w:pStyle w:val="null3"/>
      </w:pPr>
      <w:r>
        <w:rPr>
          <w:rFonts w:ascii="仿宋_GB2312" w:hAnsi="仿宋_GB2312" w:cs="仿宋_GB2312" w:eastAsia="仿宋_GB2312"/>
        </w:rPr>
        <w:t>地址：陕西省西安市雁塔区陕西省西安市高新区高新六路21号CROSS万象汇6幢1单元7层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西安市农业农村局关于印发2025年农产品质量安全风险监测计划的通知》（市农发〔2025〕33号）和《西安市农业农村局2025年西安市农产品质量安全专项和应急风险监测实施方案》要求，计划完成2025年度农产品质量安全专项和应急风险监测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586,700.00</w:t>
      </w:r>
    </w:p>
    <w:p>
      <w:pPr>
        <w:pStyle w:val="null3"/>
      </w:pPr>
      <w:r>
        <w:rPr>
          <w:rFonts w:ascii="仿宋_GB2312" w:hAnsi="仿宋_GB2312" w:cs="仿宋_GB2312" w:eastAsia="仿宋_GB2312"/>
        </w:rPr>
        <w:t>采购包最高限价（元）: 586,700.00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2025年度农产品质量安全专项和应急风险监测（第一标段）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586,700.00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513,300.00</w:t>
      </w:r>
    </w:p>
    <w:p>
      <w:pPr>
        <w:pStyle w:val="null3"/>
      </w:pPr>
      <w:r>
        <w:rPr>
          <w:rFonts w:ascii="仿宋_GB2312" w:hAnsi="仿宋_GB2312" w:cs="仿宋_GB2312" w:eastAsia="仿宋_GB2312"/>
        </w:rPr>
        <w:t>采购包最高限价（元）: 513,300.00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2025年度农产品质量安全专项和应急风险监测（第二标段）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513,300.00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标的名称：2025年度农产品质量安全专项和应急风险监测（第一标段）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351"/>
              <w:gridCol w:w="173"/>
              <w:gridCol w:w="2027"/>
            </w:tblGrid>
            <w:tr>
              <w:tc>
                <w:tcPr>
                  <w:tcW w:type="dxa" w:w="351"/>
                  <w:tcBorders>
                    <w:top w:val="single" w:color="333333" w:sz="4"/>
                    <w:left w:val="single" w:color="333333" w:sz="4"/>
                    <w:bottom w:val="single" w:color="333333" w:sz="4"/>
                    <w:right w:val="single" w:color="333333" w:sz="4"/>
                  </w:tcBorders>
                  <w:tcMar>
                    <w:top w:type="dxa" w:w="60"/>
                    <w:left w:type="dxa" w:w="90"/>
                    <w:bottom w:type="dxa" w:w="60"/>
                    <w:right w:type="dxa" w:w="90"/>
                  </w:tcMar>
                </w:tcPr>
                <w:p>
                  <w:pPr>
                    <w:pStyle w:val="null3"/>
                    <w:jc w:val="center"/>
                  </w:pPr>
                  <w:r>
                    <w:rPr>
                      <w:rFonts w:ascii="仿宋_GB2312" w:hAnsi="仿宋_GB2312" w:cs="仿宋_GB2312" w:eastAsia="仿宋_GB2312"/>
                      <w:sz w:val="24"/>
                      <w:b/>
                    </w:rPr>
                    <w:t>参数性质</w:t>
                  </w:r>
                </w:p>
              </w:tc>
              <w:tc>
                <w:tcPr>
                  <w:tcW w:type="dxa" w:w="173"/>
                  <w:tcBorders>
                    <w:top w:val="single" w:color="333333" w:sz="4"/>
                    <w:left w:val="none" w:color="000000" w:sz="4"/>
                    <w:bottom w:val="single" w:color="333333" w:sz="4"/>
                    <w:right w:val="single" w:color="333333" w:sz="4"/>
                  </w:tcBorders>
                  <w:tcMar>
                    <w:top w:type="dxa" w:w="60"/>
                    <w:left w:type="dxa" w:w="90"/>
                    <w:bottom w:type="dxa" w:w="60"/>
                    <w:right w:type="dxa" w:w="90"/>
                  </w:tcMar>
                </w:tcPr>
                <w:p>
                  <w:pPr>
                    <w:pStyle w:val="null3"/>
                    <w:jc w:val="center"/>
                  </w:pPr>
                  <w:r>
                    <w:rPr>
                      <w:rFonts w:ascii="仿宋_GB2312" w:hAnsi="仿宋_GB2312" w:cs="仿宋_GB2312" w:eastAsia="仿宋_GB2312"/>
                      <w:sz w:val="24"/>
                      <w:b/>
                    </w:rPr>
                    <w:t>序号</w:t>
                  </w:r>
                </w:p>
              </w:tc>
              <w:tc>
                <w:tcPr>
                  <w:tcW w:type="dxa" w:w="2027"/>
                  <w:tcBorders>
                    <w:top w:val="single" w:color="333333" w:sz="4"/>
                    <w:left w:val="none" w:color="000000" w:sz="4"/>
                    <w:bottom w:val="single" w:color="333333" w:sz="4"/>
                    <w:right w:val="single" w:color="333333" w:sz="4"/>
                  </w:tcBorders>
                  <w:tcMar>
                    <w:top w:type="dxa" w:w="60"/>
                    <w:left w:type="dxa" w:w="90"/>
                    <w:bottom w:type="dxa" w:w="60"/>
                    <w:right w:type="dxa" w:w="90"/>
                  </w:tcMar>
                </w:tcPr>
                <w:p>
                  <w:pPr>
                    <w:pStyle w:val="null3"/>
                    <w:jc w:val="center"/>
                  </w:pPr>
                  <w:r>
                    <w:rPr>
                      <w:rFonts w:ascii="仿宋_GB2312" w:hAnsi="仿宋_GB2312" w:cs="仿宋_GB2312" w:eastAsia="仿宋_GB2312"/>
                      <w:sz w:val="24"/>
                      <w:b/>
                    </w:rPr>
                    <w:t>技术参数与性能指标</w:t>
                  </w:r>
                </w:p>
              </w:tc>
            </w:tr>
            <w:tr>
              <w:tc>
                <w:tcPr>
                  <w:tcW w:type="dxa" w:w="351"/>
                  <w:tcBorders>
                    <w:top w:val="none" w:color="000000" w:sz="4"/>
                    <w:left w:val="single" w:color="333333" w:sz="4"/>
                    <w:bottom w:val="single" w:color="333333" w:sz="4"/>
                    <w:right w:val="single" w:color="333333" w:sz="4"/>
                  </w:tcBorders>
                  <w:tcMar>
                    <w:top w:type="dxa" w:w="60"/>
                    <w:left w:type="dxa" w:w="90"/>
                    <w:bottom w:type="dxa" w:w="60"/>
                    <w:right w:type="dxa" w:w="90"/>
                  </w:tcMar>
                </w:tcPr>
                <w:p>
                  <w:pPr>
                    <w:pStyle w:val="null3"/>
                    <w:jc w:val="center"/>
                  </w:pPr>
                  <w:r>
                    <w:rPr>
                      <w:rFonts w:ascii="仿宋_GB2312" w:hAnsi="仿宋_GB2312" w:cs="仿宋_GB2312" w:eastAsia="仿宋_GB2312"/>
                      <w:sz w:val="24"/>
                      <w:b/>
                    </w:rPr>
                    <w:t>/</w:t>
                  </w:r>
                </w:p>
              </w:tc>
              <w:tc>
                <w:tcPr>
                  <w:tcW w:type="dxa" w:w="173"/>
                  <w:tcBorders>
                    <w:top w:val="none" w:color="000000" w:sz="4"/>
                    <w:left w:val="none" w:color="000000" w:sz="4"/>
                    <w:bottom w:val="single" w:color="333333" w:sz="4"/>
                    <w:right w:val="single" w:color="333333" w:sz="4"/>
                  </w:tcBorders>
                  <w:tcMar>
                    <w:top w:type="dxa" w:w="60"/>
                    <w:left w:type="dxa" w:w="90"/>
                    <w:bottom w:type="dxa" w:w="60"/>
                    <w:right w:type="dxa" w:w="90"/>
                  </w:tcMar>
                </w:tcPr>
                <w:p>
                  <w:pPr>
                    <w:pStyle w:val="null3"/>
                    <w:jc w:val="center"/>
                  </w:pPr>
                  <w:r>
                    <w:rPr>
                      <w:rFonts w:ascii="仿宋_GB2312" w:hAnsi="仿宋_GB2312" w:cs="仿宋_GB2312" w:eastAsia="仿宋_GB2312"/>
                      <w:sz w:val="24"/>
                      <w:b/>
                    </w:rPr>
                    <w:t>一</w:t>
                  </w:r>
                </w:p>
              </w:tc>
              <w:tc>
                <w:tcPr>
                  <w:tcW w:type="dxa" w:w="2027"/>
                  <w:tcBorders>
                    <w:top w:val="none" w:color="000000" w:sz="4"/>
                    <w:left w:val="none" w:color="000000" w:sz="4"/>
                    <w:bottom w:val="single" w:color="333333" w:sz="4"/>
                    <w:right w:val="single" w:color="333333" w:sz="4"/>
                  </w:tcBorders>
                  <w:tcMar>
                    <w:top w:type="dxa" w:w="60"/>
                    <w:left w:type="dxa" w:w="90"/>
                    <w:bottom w:type="dxa" w:w="60"/>
                    <w:right w:type="dxa" w:w="90"/>
                  </w:tcMar>
                </w:tcPr>
                <w:p>
                  <w:pPr>
                    <w:pStyle w:val="null3"/>
                    <w:jc w:val="both"/>
                  </w:pPr>
                  <w:r>
                    <w:rPr>
                      <w:rFonts w:ascii="仿宋_GB2312" w:hAnsi="仿宋_GB2312" w:cs="仿宋_GB2312" w:eastAsia="仿宋_GB2312"/>
                      <w:sz w:val="24"/>
                      <w:b/>
                    </w:rPr>
                    <w:t>一、项目概况</w:t>
                  </w:r>
                </w:p>
                <w:p>
                  <w:pPr>
                    <w:pStyle w:val="null3"/>
                    <w:ind w:firstLine="480"/>
                    <w:jc w:val="left"/>
                  </w:pPr>
                  <w:r>
                    <w:rPr>
                      <w:rFonts w:ascii="仿宋_GB2312" w:hAnsi="仿宋_GB2312" w:cs="仿宋_GB2312" w:eastAsia="仿宋_GB2312"/>
                      <w:sz w:val="24"/>
                    </w:rPr>
                    <w:t>根据《西安市农业农村局关于印发2025年农产品质量安全风险监测计划的通知》（市农发〔2025〕33号）和《西安市农业农村局2025年西安市农产品质量安全专项和应急风险监测实施方案》要求，计划完成2025年度农产品质量安全专项和应急风险监测工作。</w:t>
                  </w:r>
                </w:p>
                <w:p>
                  <w:pPr>
                    <w:pStyle w:val="null3"/>
                    <w:jc w:val="both"/>
                  </w:pPr>
                  <w:r>
                    <w:rPr>
                      <w:rFonts w:ascii="仿宋_GB2312" w:hAnsi="仿宋_GB2312" w:cs="仿宋_GB2312" w:eastAsia="仿宋_GB2312"/>
                      <w:sz w:val="24"/>
                      <w:b/>
                    </w:rPr>
                    <w:t>二、服务内容</w:t>
                  </w:r>
                </w:p>
                <w:p>
                  <w:pPr>
                    <w:pStyle w:val="null3"/>
                    <w:ind w:firstLine="480"/>
                    <w:jc w:val="left"/>
                  </w:pPr>
                  <w:r>
                    <w:rPr>
                      <w:rFonts w:ascii="仿宋_GB2312" w:hAnsi="仿宋_GB2312" w:cs="仿宋_GB2312" w:eastAsia="仿宋_GB2312"/>
                      <w:sz w:val="24"/>
                    </w:rPr>
                    <w:t>西安市辖区内农产品批发市场、零售市场、早市及收储运环节，共抽检1500批次农产品样品。其中新城区、莲湖区、碑林区共抽检样品800批次（含重点品种200批次）。（具体抽检细则见实施方案）。</w:t>
                  </w:r>
                </w:p>
                <w:p>
                  <w:pPr>
                    <w:pStyle w:val="null3"/>
                    <w:jc w:val="both"/>
                  </w:pPr>
                  <w:r>
                    <w:rPr>
                      <w:rFonts w:ascii="仿宋_GB2312" w:hAnsi="仿宋_GB2312" w:cs="仿宋_GB2312" w:eastAsia="仿宋_GB2312"/>
                      <w:sz w:val="24"/>
                      <w:b/>
                    </w:rPr>
                    <w:t>三、抽样种类</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一)蔬菜。依据我市农产品目录清单，重点监测生产环节的芹菜、菠菜、叶用莴苣、芫荽、茼蒿、普通白菜、大白菜、蕹菜、花椰菜、甘蓝、青花菜、菜薹、黄瓜、苦瓜、丝瓜、西葫芦、辣椒、番茄、茄子、豇豆、菜豆、食荚豌豆、蚕豆、扁豆、韭菜、大葱、细香葱、洋葱、大蒜、莲藕、茭白、萝卜、胡萝卜、马铃薯、山药、甘薯、生姜、黄花菜、芦笋、香椿、南瓜、冬瓜、蒜苗、芋、芥菜、茎用莴苣等品种。</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二)水果。重点监测猕猴桃、草莓、樱桃、葡萄、西瓜、石榴、甜瓜、柿子、李、杏、梨、桃、枣等我省特色或小宗品种。</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三)食用菌。重点监测香菇、平菇、双孢蘑菇、金针菇、秀珍菇、黑木耳(含毛木耳)、银耳、茶树菇、杏鲍菇、草菇等品种，均为鲜品。</w:t>
                  </w:r>
                </w:p>
                <w:p>
                  <w:pPr>
                    <w:pStyle w:val="null3"/>
                    <w:jc w:val="left"/>
                  </w:pPr>
                  <w:r>
                    <w:rPr>
                      <w:rFonts w:ascii="仿宋_GB2312" w:hAnsi="仿宋_GB2312" w:cs="仿宋_GB2312" w:eastAsia="仿宋_GB2312"/>
                      <w:sz w:val="24"/>
                      <w:b/>
                    </w:rPr>
                    <w:t>四、检测参数及方法</w:t>
                  </w:r>
                </w:p>
                <w:p>
                  <w:pPr>
                    <w:pStyle w:val="null3"/>
                    <w:ind w:firstLine="480"/>
                    <w:jc w:val="left"/>
                  </w:pPr>
                  <w:r>
                    <w:rPr>
                      <w:rFonts w:ascii="仿宋_GB2312" w:hAnsi="仿宋_GB2312" w:cs="仿宋_GB2312" w:eastAsia="仿宋_GB2312"/>
                      <w:sz w:val="24"/>
                    </w:rPr>
                    <w:t>蔬菜、食用菌、水果应检参数</w:t>
                  </w:r>
                </w:p>
                <w:tbl>
                  <w:tblPr>
                    <w:tblBorders>
                      <w:top w:val="none" w:color="000000" w:sz="4"/>
                      <w:left w:val="none" w:color="000000" w:sz="4"/>
                      <w:bottom w:val="none" w:color="000000" w:sz="4"/>
                      <w:right w:val="none" w:color="000000" w:sz="4"/>
                      <w:insideH w:val="none"/>
                      <w:insideV w:val="none"/>
                    </w:tblBorders>
                  </w:tblPr>
                  <w:tblGrid>
                    <w:gridCol w:w="1125"/>
                    <w:gridCol w:w="686"/>
                  </w:tblGrid>
                  <w:tr>
                    <w:tc>
                      <w:tcPr>
                        <w:tcW w:type="dxa" w:w="1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监测参数</w:t>
                        </w:r>
                      </w:p>
                    </w:tc>
                    <w:tc>
                      <w:tcPr>
                        <w:tcW w:type="dxa" w:w="68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检测方法</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禁用农药甲胺磷、对硫磷、甲基对硫磷、六六六、三氯杀螨醇、甲拌磷、水胺硫磷、甲基异柳磷；氧乐果、克百威(包括3-羟基克百威)、涕灭威(包括涕灭威砜和涕灭威亚砜)、灭多威(2026年6月1日起禁止使用)、灭线磷、杀扑磷，限用农药氟虫腈(包括氟甲腈、氟虫腈硫醚、氟虫腈砜)、毒死蜱、三唑磷、乐果、乙酰甲胺磷</w:t>
                        </w:r>
                      </w:p>
                      <w:p>
                        <w:pPr>
                          <w:pStyle w:val="null3"/>
                          <w:ind w:firstLine="480"/>
                          <w:jc w:val="left"/>
                        </w:pPr>
                        <w:r>
                          <w:rPr>
                            <w:rFonts w:ascii="仿宋_GB2312" w:hAnsi="仿宋_GB2312" w:cs="仿宋_GB2312" w:eastAsia="仿宋_GB2312"/>
                            <w:sz w:val="24"/>
                          </w:rPr>
                          <w:t>常规农药敌敌畏、杀螟硫磷、丙溴磷、马拉硫磷、亚胺硫磷、辛硫磷、</w:t>
                        </w:r>
                      </w:p>
                      <w:p>
                        <w:pPr>
                          <w:pStyle w:val="null3"/>
                          <w:jc w:val="left"/>
                        </w:pPr>
                        <w:r>
                          <w:rPr>
                            <w:rFonts w:ascii="仿宋_GB2312" w:hAnsi="仿宋_GB2312" w:cs="仿宋_GB2312" w:eastAsia="仿宋_GB2312"/>
                            <w:sz w:val="24"/>
                          </w:rPr>
                          <w:t>氯氰菊酯、氰戊菊酯、溴氰菊酯、甲氰菊酯、联苯菊酯、氯氟氰菊酯、氟氯氰菊酯、氯吡脲、除虫脲、灭幼脲、吡虫啉、啶虫脒、哒螨灵、阿维菌素、甲氨基阿维菌素苯甲酸盐、虫螨腈、噻虫嗪、氟啶脲、异菌脲、五氯硝基苯、三唑酮、百菌清、腐霉利、乙烯菌核利、多菌灵、苯醚甲环唑、嘧霉胺、烯酰吗啉、咪鲜胺、嘧菌酯、二甲戊灵、灭蝇胺、甲霜灵、霜霉威、氯虫苯甲酰胺、氯菊酯(异构体之和)、醚菊酯、虫酰肼、吡唑醚菌酯、三嗪磷、伏杀硫磷、甲萘威、氟胺氰菊酯、</w:t>
                        </w:r>
                      </w:p>
                      <w:p>
                        <w:pPr>
                          <w:pStyle w:val="null3"/>
                          <w:jc w:val="left"/>
                        </w:pPr>
                        <w:r>
                          <w:rPr>
                            <w:rFonts w:ascii="仿宋_GB2312" w:hAnsi="仿宋_GB2312" w:cs="仿宋_GB2312" w:eastAsia="仿宋_GB2312"/>
                            <w:sz w:val="24"/>
                          </w:rPr>
                          <w:t>三唑醇、多效唑</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按GB/T 20769</w:t>
                        </w:r>
                      </w:p>
                      <w:p>
                        <w:pPr>
                          <w:pStyle w:val="null3"/>
                          <w:jc w:val="left"/>
                        </w:pPr>
                        <w:r>
                          <w:rPr>
                            <w:rFonts w:ascii="仿宋_GB2312" w:hAnsi="仿宋_GB2312" w:cs="仿宋_GB2312" w:eastAsia="仿宋_GB2312"/>
                            <w:sz w:val="24"/>
                          </w:rPr>
                          <w:t>或GB 23200.113</w:t>
                        </w:r>
                      </w:p>
                      <w:p>
                        <w:pPr>
                          <w:pStyle w:val="null3"/>
                          <w:jc w:val="left"/>
                        </w:pPr>
                        <w:r>
                          <w:rPr>
                            <w:rFonts w:ascii="仿宋_GB2312" w:hAnsi="仿宋_GB2312" w:cs="仿宋_GB2312" w:eastAsia="仿宋_GB2312"/>
                            <w:sz w:val="24"/>
                          </w:rPr>
                          <w:t>或GB 23200.121</w:t>
                        </w:r>
                      </w:p>
                      <w:p>
                        <w:pPr>
                          <w:pStyle w:val="null3"/>
                          <w:jc w:val="left"/>
                        </w:pPr>
                        <w:r>
                          <w:rPr>
                            <w:rFonts w:ascii="仿宋_GB2312" w:hAnsi="仿宋_GB2312" w:cs="仿宋_GB2312" w:eastAsia="仿宋_GB2312"/>
                            <w:sz w:val="24"/>
                          </w:rPr>
                          <w:t>或GB 23200.8</w:t>
                        </w:r>
                      </w:p>
                      <w:p>
                        <w:pPr>
                          <w:pStyle w:val="null3"/>
                          <w:jc w:val="left"/>
                        </w:pPr>
                        <w:r>
                          <w:rPr>
                            <w:rFonts w:ascii="仿宋_GB2312" w:hAnsi="仿宋_GB2312" w:cs="仿宋_GB2312" w:eastAsia="仿宋_GB2312"/>
                            <w:sz w:val="24"/>
                          </w:rPr>
                          <w:t>或NY/T 761进行检测</w:t>
                        </w:r>
                      </w:p>
                    </w:tc>
                  </w:tr>
                </w:tbl>
                <w:p>
                  <w:pPr>
                    <w:pStyle w:val="null3"/>
                    <w:ind w:firstLine="482"/>
                    <w:jc w:val="both"/>
                  </w:pPr>
                  <w:r>
                    <w:rPr>
                      <w:rFonts w:ascii="仿宋_GB2312" w:hAnsi="仿宋_GB2312" w:cs="仿宋_GB2312" w:eastAsia="仿宋_GB2312"/>
                      <w:sz w:val="24"/>
                      <w:b/>
                    </w:rPr>
                    <w:t>四、服务要求</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各任务承担单位每次抽样不低于两名专业工作人员，抽样主体信息必须记录详细，抽样过程必须全程记录，确保程序合法合规。</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任务承担单位抽取样品后要及时进行样品检测，抽检结果要“随检随报”，不合格产品检测结果要在 24 小时内通报采购方。</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所有检测报告均出具电子版和纸质版，不合格样品需附完整复检记录。</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标的名称：2025年度农产品质量安全专项和应急风险监测（第二标段）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351"/>
              <w:gridCol w:w="173"/>
              <w:gridCol w:w="2027"/>
            </w:tblGrid>
            <w:tr>
              <w:tc>
                <w:tcPr>
                  <w:tcW w:type="dxa" w:w="351"/>
                  <w:tcBorders>
                    <w:top w:val="single" w:color="333333" w:sz="4"/>
                    <w:left w:val="single" w:color="333333" w:sz="4"/>
                    <w:bottom w:val="single" w:color="333333" w:sz="4"/>
                    <w:right w:val="single" w:color="333333" w:sz="4"/>
                  </w:tcBorders>
                  <w:tcMar>
                    <w:top w:type="dxa" w:w="60"/>
                    <w:left w:type="dxa" w:w="90"/>
                    <w:bottom w:type="dxa" w:w="60"/>
                    <w:right w:type="dxa" w:w="90"/>
                  </w:tcMar>
                </w:tcPr>
                <w:p>
                  <w:pPr>
                    <w:pStyle w:val="null3"/>
                    <w:jc w:val="center"/>
                  </w:pPr>
                  <w:r>
                    <w:rPr>
                      <w:rFonts w:ascii="仿宋_GB2312" w:hAnsi="仿宋_GB2312" w:cs="仿宋_GB2312" w:eastAsia="仿宋_GB2312"/>
                      <w:sz w:val="24"/>
                      <w:b/>
                    </w:rPr>
                    <w:t>参数性质</w:t>
                  </w:r>
                </w:p>
              </w:tc>
              <w:tc>
                <w:tcPr>
                  <w:tcW w:type="dxa" w:w="173"/>
                  <w:tcBorders>
                    <w:top w:val="single" w:color="333333" w:sz="4"/>
                    <w:left w:val="none" w:color="000000" w:sz="4"/>
                    <w:bottom w:val="single" w:color="333333" w:sz="4"/>
                    <w:right w:val="single" w:color="333333" w:sz="4"/>
                  </w:tcBorders>
                  <w:tcMar>
                    <w:top w:type="dxa" w:w="60"/>
                    <w:left w:type="dxa" w:w="90"/>
                    <w:bottom w:type="dxa" w:w="60"/>
                    <w:right w:type="dxa" w:w="90"/>
                  </w:tcMar>
                </w:tcPr>
                <w:p>
                  <w:pPr>
                    <w:pStyle w:val="null3"/>
                    <w:jc w:val="center"/>
                  </w:pPr>
                  <w:r>
                    <w:rPr>
                      <w:rFonts w:ascii="仿宋_GB2312" w:hAnsi="仿宋_GB2312" w:cs="仿宋_GB2312" w:eastAsia="仿宋_GB2312"/>
                      <w:sz w:val="24"/>
                      <w:b/>
                    </w:rPr>
                    <w:t>序号</w:t>
                  </w:r>
                </w:p>
              </w:tc>
              <w:tc>
                <w:tcPr>
                  <w:tcW w:type="dxa" w:w="2027"/>
                  <w:tcBorders>
                    <w:top w:val="single" w:color="333333" w:sz="4"/>
                    <w:left w:val="none" w:color="000000" w:sz="4"/>
                    <w:bottom w:val="single" w:color="333333" w:sz="4"/>
                    <w:right w:val="single" w:color="333333" w:sz="4"/>
                  </w:tcBorders>
                  <w:tcMar>
                    <w:top w:type="dxa" w:w="60"/>
                    <w:left w:type="dxa" w:w="90"/>
                    <w:bottom w:type="dxa" w:w="60"/>
                    <w:right w:type="dxa" w:w="90"/>
                  </w:tcMar>
                </w:tcPr>
                <w:p>
                  <w:pPr>
                    <w:pStyle w:val="null3"/>
                    <w:jc w:val="center"/>
                  </w:pPr>
                  <w:r>
                    <w:rPr>
                      <w:rFonts w:ascii="仿宋_GB2312" w:hAnsi="仿宋_GB2312" w:cs="仿宋_GB2312" w:eastAsia="仿宋_GB2312"/>
                      <w:sz w:val="24"/>
                      <w:b/>
                    </w:rPr>
                    <w:t>技术参数与性能指标</w:t>
                  </w:r>
                </w:p>
              </w:tc>
            </w:tr>
            <w:tr>
              <w:tc>
                <w:tcPr>
                  <w:tcW w:type="dxa" w:w="351"/>
                  <w:tcBorders>
                    <w:top w:val="none" w:color="000000" w:sz="4"/>
                    <w:left w:val="single" w:color="333333" w:sz="4"/>
                    <w:bottom w:val="single" w:color="333333" w:sz="4"/>
                    <w:right w:val="single" w:color="333333" w:sz="4"/>
                  </w:tcBorders>
                  <w:tcMar>
                    <w:top w:type="dxa" w:w="60"/>
                    <w:left w:type="dxa" w:w="90"/>
                    <w:bottom w:type="dxa" w:w="60"/>
                    <w:right w:type="dxa" w:w="90"/>
                  </w:tcMar>
                </w:tcPr>
                <w:p>
                  <w:pPr>
                    <w:pStyle w:val="null3"/>
                    <w:jc w:val="center"/>
                  </w:pPr>
                  <w:r>
                    <w:rPr>
                      <w:rFonts w:ascii="仿宋_GB2312" w:hAnsi="仿宋_GB2312" w:cs="仿宋_GB2312" w:eastAsia="仿宋_GB2312"/>
                      <w:sz w:val="24"/>
                      <w:b/>
                    </w:rPr>
                    <w:t>/</w:t>
                  </w:r>
                </w:p>
              </w:tc>
              <w:tc>
                <w:tcPr>
                  <w:tcW w:type="dxa" w:w="173"/>
                  <w:tcBorders>
                    <w:top w:val="none" w:color="000000" w:sz="4"/>
                    <w:left w:val="none" w:color="000000" w:sz="4"/>
                    <w:bottom w:val="single" w:color="333333" w:sz="4"/>
                    <w:right w:val="single" w:color="333333" w:sz="4"/>
                  </w:tcBorders>
                  <w:tcMar>
                    <w:top w:type="dxa" w:w="60"/>
                    <w:left w:type="dxa" w:w="90"/>
                    <w:bottom w:type="dxa" w:w="60"/>
                    <w:right w:type="dxa" w:w="90"/>
                  </w:tcMar>
                </w:tcPr>
                <w:p>
                  <w:pPr>
                    <w:pStyle w:val="null3"/>
                    <w:jc w:val="center"/>
                  </w:pPr>
                  <w:r>
                    <w:rPr>
                      <w:rFonts w:ascii="仿宋_GB2312" w:hAnsi="仿宋_GB2312" w:cs="仿宋_GB2312" w:eastAsia="仿宋_GB2312"/>
                      <w:sz w:val="24"/>
                      <w:b/>
                    </w:rPr>
                    <w:t>一</w:t>
                  </w:r>
                </w:p>
              </w:tc>
              <w:tc>
                <w:tcPr>
                  <w:tcW w:type="dxa" w:w="2027"/>
                  <w:tcBorders>
                    <w:top w:val="none" w:color="000000" w:sz="4"/>
                    <w:left w:val="none" w:color="000000" w:sz="4"/>
                    <w:bottom w:val="single" w:color="333333" w:sz="4"/>
                    <w:right w:val="single" w:color="333333" w:sz="4"/>
                  </w:tcBorders>
                  <w:tcMar>
                    <w:top w:type="dxa" w:w="60"/>
                    <w:left w:type="dxa" w:w="90"/>
                    <w:bottom w:type="dxa" w:w="60"/>
                    <w:right w:type="dxa" w:w="90"/>
                  </w:tcMar>
                </w:tcPr>
                <w:p>
                  <w:pPr>
                    <w:pStyle w:val="null3"/>
                    <w:jc w:val="both"/>
                  </w:pPr>
                  <w:r>
                    <w:rPr>
                      <w:rFonts w:ascii="仿宋_GB2312" w:hAnsi="仿宋_GB2312" w:cs="仿宋_GB2312" w:eastAsia="仿宋_GB2312"/>
                      <w:sz w:val="24"/>
                      <w:b/>
                    </w:rPr>
                    <w:t>一、项目概况</w:t>
                  </w:r>
                </w:p>
                <w:p>
                  <w:pPr>
                    <w:pStyle w:val="null3"/>
                    <w:ind w:firstLine="480"/>
                    <w:jc w:val="left"/>
                  </w:pPr>
                  <w:r>
                    <w:rPr>
                      <w:rFonts w:ascii="仿宋_GB2312" w:hAnsi="仿宋_GB2312" w:cs="仿宋_GB2312" w:eastAsia="仿宋_GB2312"/>
                      <w:sz w:val="24"/>
                    </w:rPr>
                    <w:t>根据《西安市农业农村局关于印发2025年农产品质量安全风险监测计划的通知》（市农发〔2025〕33号）和《西安市农业农村局2025年西安市农产品质量安全专项和应急风险监测实施方案》要求，计划完成2025年度农产品质量安全专项和应急风险监测工作。</w:t>
                  </w:r>
                </w:p>
                <w:p>
                  <w:pPr>
                    <w:pStyle w:val="null3"/>
                    <w:jc w:val="both"/>
                  </w:pPr>
                  <w:r>
                    <w:rPr>
                      <w:rFonts w:ascii="仿宋_GB2312" w:hAnsi="仿宋_GB2312" w:cs="仿宋_GB2312" w:eastAsia="仿宋_GB2312"/>
                      <w:sz w:val="24"/>
                      <w:b/>
                    </w:rPr>
                    <w:t>二、服务内容</w:t>
                  </w:r>
                </w:p>
                <w:p>
                  <w:pPr>
                    <w:pStyle w:val="null3"/>
                    <w:ind w:firstLine="480"/>
                    <w:jc w:val="left"/>
                  </w:pPr>
                  <w:r>
                    <w:rPr>
                      <w:rFonts w:ascii="仿宋_GB2312" w:hAnsi="仿宋_GB2312" w:cs="仿宋_GB2312" w:eastAsia="仿宋_GB2312"/>
                      <w:sz w:val="24"/>
                    </w:rPr>
                    <w:t>西安市辖区内农产品批发市场、零售市场、早市及收储运环节，共抽检1500批次农产品样品。其中雁塔区、未央区、经开区、浐灞国际港共抽检样品700批次。（具体抽检细则见实施方案）。</w:t>
                  </w:r>
                </w:p>
                <w:p>
                  <w:pPr>
                    <w:pStyle w:val="null3"/>
                    <w:jc w:val="both"/>
                  </w:pPr>
                  <w:r>
                    <w:rPr>
                      <w:rFonts w:ascii="仿宋_GB2312" w:hAnsi="仿宋_GB2312" w:cs="仿宋_GB2312" w:eastAsia="仿宋_GB2312"/>
                      <w:sz w:val="24"/>
                      <w:b/>
                    </w:rPr>
                    <w:t>三、抽样种类</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一)蔬菜。依据我市农产品目录清单，重点监测生产环节的芹菜、菠菜、叶用莴苣、芫荽、茼蒿、普通白菜、大白菜、蕹菜、花椰菜、甘蓝、青花菜、菜薹、黄瓜、苦瓜、丝瓜、西葫芦、辣椒、番茄、茄子、豇豆、菜豆、食荚豌豆、蚕豆、扁豆、韭菜、大葱、细香葱、洋葱、大蒜、莲藕、茭白、萝卜、胡萝卜、马铃薯、山药、甘薯、生姜、黄花菜、芦笋、香椿、南瓜、冬瓜、蒜苗、芋、芥菜、茎用莴苣等品种。</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二)水果。重点监测猕猴桃、草莓、樱桃、葡萄、西瓜、石榴、甜瓜、柿子、李、杏、梨、桃、枣等我省特色或小宗品种。</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三)食用菌。重点监测香菇、平菇、双孢蘑菇、金针菇、秀珍菇、黑木耳(含毛木耳)、银耳、茶树菇、杏鲍菇、草菇等品种，均为鲜品。</w:t>
                  </w:r>
                </w:p>
                <w:p>
                  <w:pPr>
                    <w:pStyle w:val="null3"/>
                    <w:jc w:val="left"/>
                  </w:pPr>
                  <w:r>
                    <w:rPr>
                      <w:rFonts w:ascii="仿宋_GB2312" w:hAnsi="仿宋_GB2312" w:cs="仿宋_GB2312" w:eastAsia="仿宋_GB2312"/>
                      <w:sz w:val="24"/>
                      <w:b/>
                    </w:rPr>
                    <w:t>四、检测参数及方法</w:t>
                  </w:r>
                </w:p>
                <w:p>
                  <w:pPr>
                    <w:pStyle w:val="null3"/>
                    <w:ind w:firstLine="480"/>
                    <w:jc w:val="left"/>
                  </w:pPr>
                  <w:r>
                    <w:rPr>
                      <w:rFonts w:ascii="仿宋_GB2312" w:hAnsi="仿宋_GB2312" w:cs="仿宋_GB2312" w:eastAsia="仿宋_GB2312"/>
                      <w:sz w:val="24"/>
                    </w:rPr>
                    <w:t>蔬菜、食用菌、水果应检参数</w:t>
                  </w:r>
                </w:p>
                <w:tbl>
                  <w:tblPr>
                    <w:tblBorders>
                      <w:top w:val="none" w:color="000000" w:sz="4"/>
                      <w:left w:val="none" w:color="000000" w:sz="4"/>
                      <w:bottom w:val="none" w:color="000000" w:sz="4"/>
                      <w:right w:val="none" w:color="000000" w:sz="4"/>
                      <w:insideH w:val="none"/>
                      <w:insideV w:val="none"/>
                    </w:tblBorders>
                  </w:tblPr>
                  <w:tblGrid>
                    <w:gridCol w:w="1125"/>
                    <w:gridCol w:w="686"/>
                  </w:tblGrid>
                  <w:tr>
                    <w:tc>
                      <w:tcPr>
                        <w:tcW w:type="dxa" w:w="1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监测参数</w:t>
                        </w:r>
                      </w:p>
                    </w:tc>
                    <w:tc>
                      <w:tcPr>
                        <w:tcW w:type="dxa" w:w="68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left"/>
                        </w:pPr>
                        <w:r>
                          <w:rPr>
                            <w:rFonts w:ascii="仿宋_GB2312" w:hAnsi="仿宋_GB2312" w:cs="仿宋_GB2312" w:eastAsia="仿宋_GB2312"/>
                            <w:sz w:val="24"/>
                          </w:rPr>
                          <w:t>检测方法</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rPr>
                          <w:t>禁用农药甲胺磷、对硫磷、甲基对硫磷、六六六、三氯杀螨醇、甲拌磷、水胺硫磷、甲基异柳磷；氧乐果、克百威(包括3-羟基克百威)、涕灭威(包括涕灭威砜和涕灭威亚砜)、灭多威(2026年6月1日起禁止使用)、灭线磷、杀扑磷，限用农药氟虫腈(包括氟甲腈、氟虫腈硫醚、氟虫腈砜)、毒死蜱、三唑磷、乐果、乙酰甲胺磷</w:t>
                        </w:r>
                      </w:p>
                      <w:p>
                        <w:pPr>
                          <w:pStyle w:val="null3"/>
                          <w:ind w:firstLine="480"/>
                          <w:jc w:val="left"/>
                        </w:pPr>
                        <w:r>
                          <w:rPr>
                            <w:rFonts w:ascii="仿宋_GB2312" w:hAnsi="仿宋_GB2312" w:cs="仿宋_GB2312" w:eastAsia="仿宋_GB2312"/>
                            <w:sz w:val="24"/>
                          </w:rPr>
                          <w:t>常规农药敌敌畏、杀螟硫磷、丙溴磷、马拉硫磷、亚胺硫磷、辛硫磷、</w:t>
                        </w:r>
                      </w:p>
                      <w:p>
                        <w:pPr>
                          <w:pStyle w:val="null3"/>
                          <w:jc w:val="left"/>
                        </w:pPr>
                        <w:r>
                          <w:rPr>
                            <w:rFonts w:ascii="仿宋_GB2312" w:hAnsi="仿宋_GB2312" w:cs="仿宋_GB2312" w:eastAsia="仿宋_GB2312"/>
                            <w:sz w:val="24"/>
                          </w:rPr>
                          <w:t>氯氰菊酯、氰戊菊酯、溴氰菊酯、甲氰菊酯、联苯菊酯、氯氟氰菊酯、氟氯氰菊酯、氯吡脲、除虫脲、灭幼脲、吡虫啉、啶虫脒、哒螨灵、阿维菌素、甲氨基阿维菌素苯甲酸盐、虫螨腈、噻虫嗪、氟啶脲、异菌脲、五氯硝基苯、三唑酮、百菌清、腐霉利、乙烯菌核利、多菌灵、苯醚甲环唑、嘧霉胺、烯酰吗啉、咪鲜胺、嘧菌酯、二甲戊灵、灭蝇胺、甲霜灵、霜霉威、氯虫苯甲酰胺、氯菊酯(异构体之和)、醚菊酯、虫酰肼、吡唑醚菌酯、三嗪磷、伏杀硫磷、甲萘威、氟胺氰菊酯、</w:t>
                        </w:r>
                      </w:p>
                      <w:p>
                        <w:pPr>
                          <w:pStyle w:val="null3"/>
                          <w:jc w:val="left"/>
                        </w:pPr>
                        <w:r>
                          <w:rPr>
                            <w:rFonts w:ascii="仿宋_GB2312" w:hAnsi="仿宋_GB2312" w:cs="仿宋_GB2312" w:eastAsia="仿宋_GB2312"/>
                            <w:sz w:val="24"/>
                          </w:rPr>
                          <w:t>三唑醇、多效唑</w:t>
                        </w:r>
                      </w:p>
                    </w:tc>
                    <w:tc>
                      <w:tcPr>
                        <w:tcW w:type="dxa" w:w="68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按GB/T 20769</w:t>
                        </w:r>
                      </w:p>
                      <w:p>
                        <w:pPr>
                          <w:pStyle w:val="null3"/>
                          <w:jc w:val="left"/>
                        </w:pPr>
                        <w:r>
                          <w:rPr>
                            <w:rFonts w:ascii="仿宋_GB2312" w:hAnsi="仿宋_GB2312" w:cs="仿宋_GB2312" w:eastAsia="仿宋_GB2312"/>
                            <w:sz w:val="24"/>
                          </w:rPr>
                          <w:t>或GB 23200.113</w:t>
                        </w:r>
                      </w:p>
                      <w:p>
                        <w:pPr>
                          <w:pStyle w:val="null3"/>
                          <w:jc w:val="left"/>
                        </w:pPr>
                        <w:r>
                          <w:rPr>
                            <w:rFonts w:ascii="仿宋_GB2312" w:hAnsi="仿宋_GB2312" w:cs="仿宋_GB2312" w:eastAsia="仿宋_GB2312"/>
                            <w:sz w:val="24"/>
                          </w:rPr>
                          <w:t>或GB 23200.121</w:t>
                        </w:r>
                      </w:p>
                      <w:p>
                        <w:pPr>
                          <w:pStyle w:val="null3"/>
                          <w:jc w:val="left"/>
                        </w:pPr>
                        <w:r>
                          <w:rPr>
                            <w:rFonts w:ascii="仿宋_GB2312" w:hAnsi="仿宋_GB2312" w:cs="仿宋_GB2312" w:eastAsia="仿宋_GB2312"/>
                            <w:sz w:val="24"/>
                          </w:rPr>
                          <w:t>或GB 23200.8</w:t>
                        </w:r>
                      </w:p>
                      <w:p>
                        <w:pPr>
                          <w:pStyle w:val="null3"/>
                          <w:jc w:val="left"/>
                        </w:pPr>
                        <w:r>
                          <w:rPr>
                            <w:rFonts w:ascii="仿宋_GB2312" w:hAnsi="仿宋_GB2312" w:cs="仿宋_GB2312" w:eastAsia="仿宋_GB2312"/>
                            <w:sz w:val="24"/>
                          </w:rPr>
                          <w:t>或NY/T 761进行检测</w:t>
                        </w:r>
                      </w:p>
                    </w:tc>
                  </w:tr>
                </w:tbl>
                <w:p>
                  <w:pPr>
                    <w:pStyle w:val="null3"/>
                    <w:ind w:firstLine="482"/>
                    <w:jc w:val="both"/>
                  </w:pPr>
                  <w:r>
                    <w:rPr>
                      <w:rFonts w:ascii="仿宋_GB2312" w:hAnsi="仿宋_GB2312" w:cs="仿宋_GB2312" w:eastAsia="仿宋_GB2312"/>
                      <w:sz w:val="24"/>
                      <w:b/>
                    </w:rPr>
                    <w:t>四、服务要求</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各任务承担单位每次抽样不低于两名专业工作人员，抽样主体信息必须记录详细，抽样过程必须全程记录，确保程序合法合规。</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任务承担单位抽取样品后要及时进行样品检测，抽检结果要“随检随报”，不合格产品检测结果要在 24 小时内通报采购方。</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所有检测报告均出具电子版和纸质版，不合格样品需附完整复检记录。</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检测机构应具备先进的检测设备和仪器，如气相色谱仪、液相色谱仪等，以确保检测结果的准确性和可靠性。设备配备率应达到98%,在用仪器设备完好率达到100%。</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检测机构应具备先进的检测设备和仪器，如气相色谱仪、液相色谱仪等，以确保检测结果的准确性和可靠性。设备配备率应达到98%,在用仪器设备完好率达到100%。</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自合同签订之日起至2025年10月31日前完成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自合同签订之日起至2025年10月31日前完成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按采购人要求进行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按采购人要求进行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按采购人要求进行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按采购人要求进行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磋商，供应商需在电子化交易系统上传响应的文件。成交供应商领取中标（成交）通知书时，向采购代理机构提供一正两副纸质响应文件及电子版1份（签字盖章扫描PDF和word文档格式，U盘存储）。 2.供应商应自磋商文件递交截止时间起至磋商结束，保持在线状态。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其他应说明的事项.docx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或2024年度经审计的财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其他应说明的事项.docx 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其他应说明的事项.docx 供应商资格证明文件.docx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其他应说明的事项.docx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或2024年度经审计的财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其他应说明的事项.docx 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其他应说明的事项.docx 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供应商资格证明文件.docx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供应商资格证明文件.docx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其他应说明的事项.docx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提供2025年1月至今已缴纳的至少一个月的社会保障资金缴存单据或社保机构开具的社会保险参保缴费情况证明。依法不需要缴纳社会保障资金的单位应提供相关证明材料；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其他应说明的事项.docx 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提供2025年1月至今已缴纳的至少一个月的纳税证明或完税证明（时间以税款所属日期为准、税种须包含增值税或企业所得税），依法免税的单位应提供相关证明材料；</w:t>
            </w:r>
          </w:p>
        </w:tc>
        <w:tc>
          <w:tcPr>
            <w:tcW w:type="dxa" w:w="1661"/>
          </w:tcPr>
          <w:p>
            <w:pPr>
              <w:pStyle w:val="null3"/>
            </w:pPr>
            <w:r>
              <w:rPr>
                <w:rFonts w:ascii="仿宋_GB2312" w:hAnsi="仿宋_GB2312" w:cs="仿宋_GB2312" w:eastAsia="仿宋_GB2312"/>
              </w:rPr>
              <w:t>其他应说明的事项.docx 供应商资格证明文件.docx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参加本次政府采购活动前3年内在经营活动中没有重大违法记录的书面声明（提供声明）；</w:t>
            </w:r>
          </w:p>
        </w:tc>
        <w:tc>
          <w:tcPr>
            <w:tcW w:type="dxa" w:w="1661"/>
          </w:tcPr>
          <w:p>
            <w:pPr>
              <w:pStyle w:val="null3"/>
            </w:pPr>
            <w:r>
              <w:rPr>
                <w:rFonts w:ascii="仿宋_GB2312" w:hAnsi="仿宋_GB2312" w:cs="仿宋_GB2312" w:eastAsia="仿宋_GB2312"/>
              </w:rPr>
              <w:t>其他应说明的事项.docx 供应商资格证明文件.docx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具有良好的商业信誉</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其他应说明的事项.docx 供应商资格证明文件.docx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具有履行合同能力声明</w:t>
            </w:r>
          </w:p>
        </w:tc>
        <w:tc>
          <w:tcPr>
            <w:tcW w:type="dxa" w:w="3322"/>
          </w:tcPr>
          <w:p>
            <w:pPr>
              <w:pStyle w:val="null3"/>
            </w:pPr>
            <w:r>
              <w:rPr>
                <w:rFonts w:ascii="仿宋_GB2312" w:hAnsi="仿宋_GB2312" w:cs="仿宋_GB2312" w:eastAsia="仿宋_GB2312"/>
              </w:rPr>
              <w:t>具有履行合同所必需的设备和专业技术能力（提供声明）；</w:t>
            </w:r>
          </w:p>
        </w:tc>
        <w:tc>
          <w:tcPr>
            <w:tcW w:type="dxa" w:w="1661"/>
          </w:tcPr>
          <w:p>
            <w:pPr>
              <w:pStyle w:val="null3"/>
            </w:pPr>
            <w:r>
              <w:rPr>
                <w:rFonts w:ascii="仿宋_GB2312" w:hAnsi="仿宋_GB2312" w:cs="仿宋_GB2312" w:eastAsia="仿宋_GB2312"/>
              </w:rPr>
              <w:t>其他应说明的事项.docx 供应商资格证明文件.docx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法定代表人证明书或法定代表人授权书</w:t>
            </w:r>
          </w:p>
        </w:tc>
        <w:tc>
          <w:tcPr>
            <w:tcW w:type="dxa" w:w="3322"/>
          </w:tcPr>
          <w:p>
            <w:pPr>
              <w:pStyle w:val="null3"/>
            </w:pPr>
            <w:r>
              <w:rPr>
                <w:rFonts w:ascii="仿宋_GB2312" w:hAnsi="仿宋_GB2312" w:cs="仿宋_GB2312" w:eastAsia="仿宋_GB2312"/>
              </w:rPr>
              <w:t>法定代表人参加投标的，须提供法定代表人证明书及本人身份证复印件；法定代表人授权他人参加投标的，须提供法定代表人授权委托书并附授权代表的身份证复印件；</w:t>
            </w:r>
          </w:p>
        </w:tc>
        <w:tc>
          <w:tcPr>
            <w:tcW w:type="dxa" w:w="1661"/>
          </w:tcPr>
          <w:p>
            <w:pPr>
              <w:pStyle w:val="null3"/>
            </w:pPr>
            <w:r>
              <w:rPr>
                <w:rFonts w:ascii="仿宋_GB2312" w:hAnsi="仿宋_GB2312" w:cs="仿宋_GB2312" w:eastAsia="仿宋_GB2312"/>
              </w:rPr>
              <w:t>其他应说明的事项.docx 供应商资格证明文件.docx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投标人关联关系声明</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单位负责人为同一人或者存在直接控股、管理关系的不同投标人，不得参加同一合同项下的政府采购活动；（提供承诺书）；</w:t>
            </w:r>
          </w:p>
        </w:tc>
        <w:tc>
          <w:tcPr>
            <w:tcW w:type="dxa" w:w="1661"/>
          </w:tcPr>
          <w:p>
            <w:pPr>
              <w:pStyle w:val="null3"/>
            </w:pPr>
            <w:r>
              <w:rPr>
                <w:rFonts w:ascii="仿宋_GB2312" w:hAnsi="仿宋_GB2312" w:cs="仿宋_GB2312" w:eastAsia="仿宋_GB2312"/>
              </w:rPr>
              <w:t>其他应说明的事项.docx 供应商资格证明文件.docx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供应商具备合法有效的CMA检验检测机构资质认定证书、CATL农产品质量安全检测机构考核证书，且证书在有效期内，证书附表满足规定的能力和方法要求，覆盖率100%；</w:t>
            </w:r>
          </w:p>
        </w:tc>
        <w:tc>
          <w:tcPr>
            <w:tcW w:type="dxa" w:w="1661"/>
          </w:tcPr>
          <w:p>
            <w:pPr>
              <w:pStyle w:val="null3"/>
            </w:pPr>
            <w:r>
              <w:rPr>
                <w:rFonts w:ascii="仿宋_GB2312" w:hAnsi="仿宋_GB2312" w:cs="仿宋_GB2312" w:eastAsia="仿宋_GB2312"/>
              </w:rPr>
              <w:t>其他应说明的事项.docx 供应商资格证明文件.docx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本项目不接受联合体投标。（提供声明）</w:t>
            </w:r>
          </w:p>
        </w:tc>
        <w:tc>
          <w:tcPr>
            <w:tcW w:type="dxa" w:w="1661"/>
          </w:tcPr>
          <w:p>
            <w:pPr>
              <w:pStyle w:val="null3"/>
            </w:pPr>
            <w:r>
              <w:rPr>
                <w:rFonts w:ascii="仿宋_GB2312" w:hAnsi="仿宋_GB2312" w:cs="仿宋_GB2312" w:eastAsia="仿宋_GB2312"/>
              </w:rPr>
              <w:t>其他应说明的事项.docx 供应商资格证明文件.docx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其他应说明的事项.docx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提供2025年1月至今已缴纳的至少一个月的社会保障资金缴存单据或社保机构开具的社会保险参保缴费情况证明。依法不需要缴纳社会保障资金的单位应提供相关证明材料；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其他应说明的事项.docx 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提供2025年1月至今已缴纳的至少一个月的纳税证明或完税证明（时间以税款所属日期为准、税种须包含增值税或企业所得税），依法免税的单位应提供相关证明材料；</w:t>
            </w:r>
          </w:p>
        </w:tc>
        <w:tc>
          <w:tcPr>
            <w:tcW w:type="dxa" w:w="1661"/>
          </w:tcPr>
          <w:p>
            <w:pPr>
              <w:pStyle w:val="null3"/>
            </w:pPr>
            <w:r>
              <w:rPr>
                <w:rFonts w:ascii="仿宋_GB2312" w:hAnsi="仿宋_GB2312" w:cs="仿宋_GB2312" w:eastAsia="仿宋_GB2312"/>
              </w:rPr>
              <w:t>其他应说明的事项.docx 供应商资格证明文件.docx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参加本次政府采购活动前3年内在经营活动中没有重大违法记录的书面声明（提供声明）；</w:t>
            </w:r>
          </w:p>
        </w:tc>
        <w:tc>
          <w:tcPr>
            <w:tcW w:type="dxa" w:w="1661"/>
          </w:tcPr>
          <w:p>
            <w:pPr>
              <w:pStyle w:val="null3"/>
            </w:pPr>
            <w:r>
              <w:rPr>
                <w:rFonts w:ascii="仿宋_GB2312" w:hAnsi="仿宋_GB2312" w:cs="仿宋_GB2312" w:eastAsia="仿宋_GB2312"/>
              </w:rPr>
              <w:t>其他应说明的事项.docx 供应商资格证明文件.docx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具有良好的商业信誉</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其他应说明的事项.docx 供应商资格证明文件.docx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具有履行合同能力声明</w:t>
            </w:r>
          </w:p>
        </w:tc>
        <w:tc>
          <w:tcPr>
            <w:tcW w:type="dxa" w:w="3322"/>
          </w:tcPr>
          <w:p>
            <w:pPr>
              <w:pStyle w:val="null3"/>
            </w:pPr>
            <w:r>
              <w:rPr>
                <w:rFonts w:ascii="仿宋_GB2312" w:hAnsi="仿宋_GB2312" w:cs="仿宋_GB2312" w:eastAsia="仿宋_GB2312"/>
              </w:rPr>
              <w:t>具有履行合同所必需的设备和专业技术能力（提供声明）；</w:t>
            </w:r>
          </w:p>
        </w:tc>
        <w:tc>
          <w:tcPr>
            <w:tcW w:type="dxa" w:w="1661"/>
          </w:tcPr>
          <w:p>
            <w:pPr>
              <w:pStyle w:val="null3"/>
            </w:pPr>
            <w:r>
              <w:rPr>
                <w:rFonts w:ascii="仿宋_GB2312" w:hAnsi="仿宋_GB2312" w:cs="仿宋_GB2312" w:eastAsia="仿宋_GB2312"/>
              </w:rPr>
              <w:t>其他应说明的事项.docx 供应商资格证明文件.docx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法定代表人证明书或法定代表人授权书</w:t>
            </w:r>
          </w:p>
        </w:tc>
        <w:tc>
          <w:tcPr>
            <w:tcW w:type="dxa" w:w="3322"/>
          </w:tcPr>
          <w:p>
            <w:pPr>
              <w:pStyle w:val="null3"/>
            </w:pPr>
            <w:r>
              <w:rPr>
                <w:rFonts w:ascii="仿宋_GB2312" w:hAnsi="仿宋_GB2312" w:cs="仿宋_GB2312" w:eastAsia="仿宋_GB2312"/>
              </w:rPr>
              <w:t>法定代表人参加投标的，须提供法定代表人证明书及本人身份证复印件；法定代表人授权他人参加投标的，须提供法定代表人授权委托书并附授权代表的身份证复印件；</w:t>
            </w:r>
          </w:p>
        </w:tc>
        <w:tc>
          <w:tcPr>
            <w:tcW w:type="dxa" w:w="1661"/>
          </w:tcPr>
          <w:p>
            <w:pPr>
              <w:pStyle w:val="null3"/>
            </w:pPr>
            <w:r>
              <w:rPr>
                <w:rFonts w:ascii="仿宋_GB2312" w:hAnsi="仿宋_GB2312" w:cs="仿宋_GB2312" w:eastAsia="仿宋_GB2312"/>
              </w:rPr>
              <w:t>其他应说明的事项.docx 供应商资格证明文件.docx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投标人关联关系声明</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单位负责人为同一人或者存在直接控股、管理关系的不同投标人，不得参加同一合同项下的政府采购活动；（提供承诺书）；</w:t>
            </w:r>
          </w:p>
        </w:tc>
        <w:tc>
          <w:tcPr>
            <w:tcW w:type="dxa" w:w="1661"/>
          </w:tcPr>
          <w:p>
            <w:pPr>
              <w:pStyle w:val="null3"/>
            </w:pPr>
            <w:r>
              <w:rPr>
                <w:rFonts w:ascii="仿宋_GB2312" w:hAnsi="仿宋_GB2312" w:cs="仿宋_GB2312" w:eastAsia="仿宋_GB2312"/>
              </w:rPr>
              <w:t>其他应说明的事项.docx 供应商资格证明文件.docx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供应商具备合法有效的CMA检验检测机构资质认定证书、CATL农产品质量安全检测机构考核证书，且证书在有效期内，证书附表满足规定的能力和方法要求，覆盖率100%；</w:t>
            </w:r>
          </w:p>
        </w:tc>
        <w:tc>
          <w:tcPr>
            <w:tcW w:type="dxa" w:w="1661"/>
          </w:tcPr>
          <w:p>
            <w:pPr>
              <w:pStyle w:val="null3"/>
            </w:pPr>
            <w:r>
              <w:rPr>
                <w:rFonts w:ascii="仿宋_GB2312" w:hAnsi="仿宋_GB2312" w:cs="仿宋_GB2312" w:eastAsia="仿宋_GB2312"/>
              </w:rPr>
              <w:t>其他应说明的事项.docx 供应商资格证明文件.docx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本项目不接受联合体投标。（提供声明）</w:t>
            </w:r>
          </w:p>
        </w:tc>
        <w:tc>
          <w:tcPr>
            <w:tcW w:type="dxa" w:w="1661"/>
          </w:tcPr>
          <w:p>
            <w:pPr>
              <w:pStyle w:val="null3"/>
            </w:pPr>
            <w:r>
              <w:rPr>
                <w:rFonts w:ascii="仿宋_GB2312" w:hAnsi="仿宋_GB2312" w:cs="仿宋_GB2312" w:eastAsia="仿宋_GB2312"/>
              </w:rPr>
              <w:t>其他应说明的事项.docx 供应商资格证明文件.docx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中小企业声明函 商务应答表 报价表 供应商承诺书.docx 响应文件封面 其他应说明的事项.docx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供应商应按磋商文件要求对响应文件进行电子签章。</w:t>
            </w:r>
          </w:p>
        </w:tc>
        <w:tc>
          <w:tcPr>
            <w:tcW w:type="dxa" w:w="1661"/>
          </w:tcPr>
          <w:p>
            <w:pPr>
              <w:pStyle w:val="null3"/>
            </w:pPr>
            <w:r>
              <w:rPr>
                <w:rFonts w:ascii="仿宋_GB2312" w:hAnsi="仿宋_GB2312" w:cs="仿宋_GB2312" w:eastAsia="仿宋_GB2312"/>
              </w:rPr>
              <w:t>服务内容及服务邀请应答表 中小企业声明函 商务应答表 报价表 供应商承诺书.docx 响应文件封面 其他应说明的事项.docx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投标报价未超过采购预算或最高限价。</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投标有效期（响应有效期）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响应文件封面 其他应说明的事项.docx 商务应答表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服务内容及服务邀请应答表 其他应说明的事项.docx 商务应答表 服务方案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磋商文件规定的其他情形</w:t>
            </w:r>
          </w:p>
        </w:tc>
        <w:tc>
          <w:tcPr>
            <w:tcW w:type="dxa" w:w="3322"/>
          </w:tcPr>
          <w:p>
            <w:pPr>
              <w:pStyle w:val="null3"/>
            </w:pPr>
            <w:r>
              <w:rPr>
                <w:rFonts w:ascii="仿宋_GB2312" w:hAnsi="仿宋_GB2312" w:cs="仿宋_GB2312" w:eastAsia="仿宋_GB2312"/>
              </w:rPr>
              <w:t>响应文件中没有含采购人不能接受的附加条件或其他情形。</w:t>
            </w:r>
          </w:p>
        </w:tc>
        <w:tc>
          <w:tcPr>
            <w:tcW w:type="dxa" w:w="1661"/>
          </w:tcPr>
          <w:p>
            <w:pPr>
              <w:pStyle w:val="null3"/>
            </w:pPr>
            <w:r>
              <w:rPr>
                <w:rFonts w:ascii="仿宋_GB2312" w:hAnsi="仿宋_GB2312" w:cs="仿宋_GB2312" w:eastAsia="仿宋_GB2312"/>
              </w:rPr>
              <w:t>服务内容及服务邀请应答表 中小企业声明函 商务应答表 报价表 供应商承诺书.docx 响应文件封面 其他应说明的事项.docx 残疾人福利性单位声明函 服务方案 标的清单 供应商资格证明文件.docx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中小企业声明函 商务应答表 报价表 供应商承诺书.docx 响应文件封面 其他应说明的事项.docx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供应商应按磋商文件要求对响应文件进行电子签章。</w:t>
            </w:r>
          </w:p>
        </w:tc>
        <w:tc>
          <w:tcPr>
            <w:tcW w:type="dxa" w:w="1661"/>
          </w:tcPr>
          <w:p>
            <w:pPr>
              <w:pStyle w:val="null3"/>
            </w:pPr>
            <w:r>
              <w:rPr>
                <w:rFonts w:ascii="仿宋_GB2312" w:hAnsi="仿宋_GB2312" w:cs="仿宋_GB2312" w:eastAsia="仿宋_GB2312"/>
              </w:rPr>
              <w:t>服务内容及服务邀请应答表 中小企业声明函 商务应答表 报价表 供应商承诺书.docx 响应文件封面 其他应说明的事项.docx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投标报价未超过采购预算或最高限价。</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投标有效期（响应有效期）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响应文件封面 服务内容及服务邀请应答表 其他应说明的事项.docx 商务应答表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服务内容及服务邀请应答表 其他应说明的事项.docx 商务应答表 服务方案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磋商文件规定的其他情形</w:t>
            </w:r>
          </w:p>
        </w:tc>
        <w:tc>
          <w:tcPr>
            <w:tcW w:type="dxa" w:w="3322"/>
          </w:tcPr>
          <w:p>
            <w:pPr>
              <w:pStyle w:val="null3"/>
            </w:pPr>
            <w:r>
              <w:rPr>
                <w:rFonts w:ascii="仿宋_GB2312" w:hAnsi="仿宋_GB2312" w:cs="仿宋_GB2312" w:eastAsia="仿宋_GB2312"/>
              </w:rPr>
              <w:t>响应文件中没有含采购人不能接受的附加条件或其他情形。</w:t>
            </w:r>
          </w:p>
        </w:tc>
        <w:tc>
          <w:tcPr>
            <w:tcW w:type="dxa" w:w="1661"/>
          </w:tcPr>
          <w:p>
            <w:pPr>
              <w:pStyle w:val="null3"/>
            </w:pPr>
            <w:r>
              <w:rPr>
                <w:rFonts w:ascii="仿宋_GB2312" w:hAnsi="仿宋_GB2312" w:cs="仿宋_GB2312" w:eastAsia="仿宋_GB2312"/>
              </w:rPr>
              <w:t>服务内容及服务邀请应答表 中小企业声明函 商务应答表 报价表 供应商承诺书.docx 响应文件封面 其他应说明的事项.docx 残疾人福利性单位声明函 服务方案 标的清单 供应商资格证明文件.docx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根据项目实际需求提供实施方案。内容包含但不限于：①技术实施细则（包含但不限于详尽的检测实施方案、检验工作方案、信息报送方案、组织管理计划等）②组织管理计划③采样贮存方案④风险防控措施 二、评审标准： 1.完整性：方案全面，对评审内容中的各项要求有详细阐述； 2.可实施性：切合本项目实际情况，提出步骤清晰、合理的方案； 3.针对性：方案能够紧扣项目实际情况，内容科学合理。 上述4项评审内容全部满足评审标准得20分，每有一个评审内容缺项扣5分，每一项评审内容中每出现一处缺陷扣1分，扣完为止。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其他应说明的事项.docx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针对项目实际情况提供质量保障方案。内容包含但不限于：①明确质量目标②质量控制方案③质量保证措施。二、评审标准： 1.完整性：方案全面，对评审内容中的各项要求有详细阐述；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上述3项评审内容全部满足评审标准得9分，每有一个评审内容缺项扣3分，每一项评审内容中每出现一处缺陷扣0.5分，扣完为止。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其他应说明的事项.docx</w:t>
            </w:r>
          </w:p>
        </w:tc>
      </w:tr>
      <w:tr>
        <w:tc>
          <w:tcPr>
            <w:tcW w:type="dxa" w:w="831"/>
            <w:vMerge/>
          </w:tcPr>
          <w:p/>
        </w:tc>
        <w:tc>
          <w:tcPr>
            <w:tcW w:type="dxa" w:w="1661"/>
          </w:tcPr>
          <w:p>
            <w:pPr>
              <w:pStyle w:val="null3"/>
            </w:pPr>
            <w:r>
              <w:rPr>
                <w:rFonts w:ascii="仿宋_GB2312" w:hAnsi="仿宋_GB2312" w:cs="仿宋_GB2312" w:eastAsia="仿宋_GB2312"/>
              </w:rPr>
              <w:t>应急处理</w:t>
            </w:r>
          </w:p>
        </w:tc>
        <w:tc>
          <w:tcPr>
            <w:tcW w:type="dxa" w:w="2492"/>
          </w:tcPr>
          <w:p>
            <w:pPr>
              <w:pStyle w:val="null3"/>
            </w:pPr>
            <w:r>
              <w:rPr>
                <w:rFonts w:ascii="仿宋_GB2312" w:hAnsi="仿宋_GB2312" w:cs="仿宋_GB2312" w:eastAsia="仿宋_GB2312"/>
              </w:rPr>
              <w:t>一、评审内容： 针对项目实际情况提供应急处理方案。内容包含但不限于：①因特殊紧急情况时限响应方案②有特殊的应急服务方案及补救措施。 二、评审标准： 1.完整性：方案全面，对评审内容中的各项要求有详细阐述； 2.可实施性：切合本项目实际情况，提出步骤清晰、合理的方案； 3.针对性：方案能够紧扣项目实际情况，内容科学合理。 上述2项评审内容全部满足评审标准得6分，每有一个评审内容缺项扣3分，每一项评审内容中每出现一处缺陷扣0.5分，扣完为止。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其他应说明的事项.docx</w:t>
            </w:r>
          </w:p>
        </w:tc>
      </w:tr>
      <w:tr>
        <w:tc>
          <w:tcPr>
            <w:tcW w:type="dxa" w:w="831"/>
            <w:vMerge/>
          </w:tcPr>
          <w:p/>
        </w:tc>
        <w:tc>
          <w:tcPr>
            <w:tcW w:type="dxa" w:w="1661"/>
          </w:tcPr>
          <w:p>
            <w:pPr>
              <w:pStyle w:val="null3"/>
            </w:pPr>
            <w:r>
              <w:rPr>
                <w:rFonts w:ascii="仿宋_GB2312" w:hAnsi="仿宋_GB2312" w:cs="仿宋_GB2312" w:eastAsia="仿宋_GB2312"/>
              </w:rPr>
              <w:t>进度方案</w:t>
            </w:r>
          </w:p>
        </w:tc>
        <w:tc>
          <w:tcPr>
            <w:tcW w:type="dxa" w:w="2492"/>
          </w:tcPr>
          <w:p>
            <w:pPr>
              <w:pStyle w:val="null3"/>
            </w:pPr>
            <w:r>
              <w:rPr>
                <w:rFonts w:ascii="仿宋_GB2312" w:hAnsi="仿宋_GB2312" w:cs="仿宋_GB2312" w:eastAsia="仿宋_GB2312"/>
              </w:rPr>
              <w:t>一、评审内容 根据项目实际情况制定进度方案。内容包含但不限于：①实施总体进度安排②进度检查和保障措施。 二、评审标准： 1.完整性：方案全面，对评审内容中的各项要求有详细阐述； 2.可实施性：切合本项目实际情况，提出步骤清晰、合理的方案； 3.针对性：方案能够紧扣项目实际情况，内容科学合理。 上述2项评审内容全部满足评审标准得6分，每有一个评审内容缺项扣3分，每一项评审内容中每出现一处缺陷扣0.5分，扣完为止。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其他应说明的事项.docx</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主要检测仪器的相关图片及购置发票：高效液相色谱仪（配紫外、荧光检测器）、高效液相色谱串联质谱仪（三重四级杆），每提供一项设备计5分，满分10分。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其他应说明的事项.docx</w:t>
            </w:r>
          </w:p>
        </w:tc>
      </w:tr>
      <w:tr>
        <w:tc>
          <w:tcPr>
            <w:tcW w:type="dxa" w:w="831"/>
            <w:vMerge/>
          </w:tcPr>
          <w:p/>
        </w:tc>
        <w:tc>
          <w:tcPr>
            <w:tcW w:type="dxa" w:w="1661"/>
          </w:tcPr>
          <w:p>
            <w:pPr>
              <w:pStyle w:val="null3"/>
            </w:pPr>
            <w:r>
              <w:rPr>
                <w:rFonts w:ascii="仿宋_GB2312" w:hAnsi="仿宋_GB2312" w:cs="仿宋_GB2312" w:eastAsia="仿宋_GB2312"/>
              </w:rPr>
              <w:t>配备采样车辆及内部配置</w:t>
            </w:r>
          </w:p>
        </w:tc>
        <w:tc>
          <w:tcPr>
            <w:tcW w:type="dxa" w:w="2492"/>
          </w:tcPr>
          <w:p>
            <w:pPr>
              <w:pStyle w:val="null3"/>
            </w:pPr>
            <w:r>
              <w:rPr>
                <w:rFonts w:ascii="仿宋_GB2312" w:hAnsi="仿宋_GB2312" w:cs="仿宋_GB2312" w:eastAsia="仿宋_GB2312"/>
              </w:rPr>
              <w:t>一、评审内容：根据项目实际需求提供配备采样车辆及内部配置。内容包含但不限于：拟配备采样车辆及内部配置评审，保证样品当天进实验室。二、评审标准：1.完整性：方案全面，对评审内容中的各项要求有详细阐述； 2.可实施性：切合本项目实际情况，提出步骤清晰、合理的方案； 3.针对性：方案能够紧扣项目实际情况，内容科学合理。 上述评审内容全部满足评审标准得10分，每有一个评审内容缺项扣10分，每一项评审内容中每出现一处缺陷扣0.5分，扣完为止。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其他应说明的事项.docx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一、评审内容：根据项目实际需求提供项目服务团队。内容包含但不限于：①项目团队成员配备齐全、组织架构完整②职责划分明确、具有完善的人员管理制度③服务质量监督制度。二、评审标准： 1.完整性：方案全面，对评审内容中的各项要求有详细阐述；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上述3项评审内容全部满足评审标准得9分，每有一个评审内容缺项扣3分，每一项评审内容中每出现一处缺陷扣0.5分，扣完为止。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其他应说明的事项.docx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一、评审内容：根据项目实际需求提供服务保障方案。内容包含但不限于：①针对本项目配有农产品冷藏样品存储的专用冷库（包括检验所需的冷藏及冷冻设备），提供相关证明材料；②冷库规格；③供应商在本地设有实验室，能够提供本地化应急服务，提供相关证明材料。二、评审标准： 1.完整性：方案全面，对评审内容中的各项要求有详细阐述；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上述3项评审内容全部满足评审标准得9分，每有一个评审内容缺项扣3分，每一项评审内容中每出现一处缺陷扣0.5分，扣完为止。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其他应说明的事项.docx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根据项目实际需求提供培训方案。内容包含但不限于：①培训内容及方式②配备培训人员及制定课程表。 二、评审标准： 1.完整性：方案全面，对评审内容有详细阐述； 2.可实施性：切合本项目实际情况，提出步骤清晰、合理的方案； 3.针对性：方案能够紧扣项目实际情况，内容科学合理。 上述2项评审内容全部满足评审标准得6分，每有一个评审内容缺项扣3分，评审内容中每出现一处缺陷扣0.5分，扣完为止。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其他应说明的事项.docx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供应商提供2022年1月至今同类项目业绩，业绩以合同或中标（成交）通知书为依据，响应文件中附有其证明资料，每提供一个业绩证明计1分，满分5分。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其他应说明的事项.docx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其他应说明的事项.docx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根据项目实际需求提供实施方案。内容包含但不限于：①技术实施细则（包含但不限于详尽的检测实施方案、检验工作方案、信息报送方案、组织管理计划等）②组织管理计划③采样贮存方案④风险防控措施 二、评审标准： 1.完整性：方案全面，对评审内容中的各项要求有详细阐述； 2.可实施性：切合本项目实际情况，提出步骤清晰、合理的方案； 3.针对性：方案能够紧扣项目实际情况，内容科学合理。 上述4项评审内容全部满足评审标准得20分，每有一个评审内容缺项扣5分，每一项评审内容中每出现一处缺陷扣1分，扣完为止。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其他应说明的事项.docx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针对项目实际情况提供质量保障方案。内容包含但不限于：①明确质量目标②质量控制方案③质量保证措施。二、评审标准： 1.完整性：方案全面，对评审内容中的各项要求有详细阐述；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上述3项评审内容全部满足评审标准得9分，每有一个评审内容缺项扣3分，每一项评审内容中每出现一处缺陷扣0.5分，扣完为止。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其他应说明的事项.docx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应急处理</w:t>
            </w:r>
          </w:p>
        </w:tc>
        <w:tc>
          <w:tcPr>
            <w:tcW w:type="dxa" w:w="2492"/>
          </w:tcPr>
          <w:p>
            <w:pPr>
              <w:pStyle w:val="null3"/>
            </w:pPr>
            <w:r>
              <w:rPr>
                <w:rFonts w:ascii="仿宋_GB2312" w:hAnsi="仿宋_GB2312" w:cs="仿宋_GB2312" w:eastAsia="仿宋_GB2312"/>
              </w:rPr>
              <w:t>一、评审内容： 针对项目实际情况提供应急处理方案。内容包含但不限于：①因特殊紧急情况时限响应方案②有特殊的应急服务方案及补救措施。 二、评审标准： 1.完整性：方案全面，对评审内容中的各项要求有详细阐述； 2.可实施性：切合本项目实际情况，提出步骤清晰、合理的方案； 3.针对性：方案能够紧扣项目实际情况，内容科学合理。 上述2项评审内容全部满足评审标准得6分，每有一个评审内容缺项扣3分，每一项评审内容中每出现一处缺陷扣0.5分，扣完为止。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其他应说明的事项.docx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进度方案</w:t>
            </w:r>
          </w:p>
        </w:tc>
        <w:tc>
          <w:tcPr>
            <w:tcW w:type="dxa" w:w="2492"/>
          </w:tcPr>
          <w:p>
            <w:pPr>
              <w:pStyle w:val="null3"/>
            </w:pPr>
            <w:r>
              <w:rPr>
                <w:rFonts w:ascii="仿宋_GB2312" w:hAnsi="仿宋_GB2312" w:cs="仿宋_GB2312" w:eastAsia="仿宋_GB2312"/>
              </w:rPr>
              <w:t>一、评审内容 根据项目实际情况制定进度方案。内容包含但不限于：①实施总体进度安排②进度检查和保障措施。 二、评审标准： 1.完整性：方案全面，对评审内容中的各项要求有详细阐述； 2.可实施性：切合本项目实际情况，提出步骤清晰、合理的方案； 3.针对性：方案能够紧扣项目实际情况，内容科学合理。 上述2项评审内容全部满足评审标准得6分，每有一个评审内容缺项扣3分，每一项评审内容中每出现一处缺陷扣0.5分，扣完为止。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其他应说明的事项.docx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主要检测仪器的相关图片及购置发票：高效液相色谱仪（配紫外、荧光检测器）、高效液相色谱串联质谱仪（三重四级杆），每提供一项设备计5分，满分10分。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其他应说明的事项.docx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配备采样车辆及内部配置</w:t>
            </w:r>
          </w:p>
        </w:tc>
        <w:tc>
          <w:tcPr>
            <w:tcW w:type="dxa" w:w="2492"/>
          </w:tcPr>
          <w:p>
            <w:pPr>
              <w:pStyle w:val="null3"/>
            </w:pPr>
            <w:r>
              <w:rPr>
                <w:rFonts w:ascii="仿宋_GB2312" w:hAnsi="仿宋_GB2312" w:cs="仿宋_GB2312" w:eastAsia="仿宋_GB2312"/>
              </w:rPr>
              <w:t>一、评审内容：根据项目实际需求提供配备采样车辆及内部配置。内容包含但不限于：拟配备采样车辆及内部配置评审，保证样品当天进实验室。二、评审标准：1.完整性：方案全面，对评审内容中的各项要求有详细阐述； 2.可实施性：切合本项目实际情况，提出步骤清晰、合理的方案； 3.针对性：方案能够紧扣项目实际情况，内容科学合理。 上述评审内容全部满足评审标准得10分，每有一个评审内容缺项扣10分，每一项评审内容中每出现一处缺陷扣0.5分，扣完为止。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其他应说明的事项.docx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一、评审内容：根据项目实际需求提供项目服务团队。内容包含但不限于：①项目团队成员配备齐全、组织架构完整②职责划分明确、具有完善的人员管理制度③服务质量监督制度。二、评审标准： 1.完整性：方案全面，对评审内容中的各项要求有详细阐述；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上述3项评审内容全部满足评审标准得9分，每有一个评审内容缺项扣3分，每一项评审内容中每出现一处缺陷扣0.5分，扣完为止。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其他应说明的事项.docx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一、评审内容：根据项目实际需求提供服务保障方案。内容包含但不限于：①针对本项目配有农产品冷藏样品存储的专用冷库（包括检验所需的冷藏及冷冻设备），提供相关证明材料；②冷库规格；③供应商在本地设有实验室，能够提供本地化应急服务，提供相关证明材料。二、评审标准： 1.完整性：方案全面，对评审内容中的各项要求有详细阐述；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上述3项评审内容全部满足评审标准得9分，每有一个评审内容缺项扣3分，每一项评审内容中每出现一处缺陷扣0.5分，扣完为止。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其他应说明的事项.docx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根据项目实际需求提供培训方案。内容包含但不限于：①培训内容及方式②配备培训人员及制定课程表。 二、评审标准： 1.完整性：方案全面，对评审内容有详细阐述； 2.可实施性：切合本项目实际情况，提出步骤清晰、合理的方案； 3.针对性：方案能够紧扣项目实际情况，内容科学合理。 上述2项评审内容全部满足评审标准得6分，每有一个评审内容缺项扣3分，评审内容中每出现一处缺陷扣0.5分，扣完为止。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其他应说明的事项.docx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供应商提供2022年1月至今同类项目业绩，业绩以合同或中标（成交）通知书为依据，响应文件中附有其证明资料，每提供一个业绩证明计1分，满分5分。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其他应说明的事项.docx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其他应说明的事项.docx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详见附件：其他应说明的事项.docx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详见附件：供应商资格证明文件.docx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详见附件：其他应说明的事项.docx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