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8D566">
      <w:pPr>
        <w:pStyle w:val="2"/>
        <w:numPr>
          <w:ilvl w:val="0"/>
          <w:numId w:val="0"/>
        </w:numPr>
        <w:snapToGrid w:val="0"/>
        <w:spacing w:line="360" w:lineRule="auto"/>
        <w:jc w:val="center"/>
        <w:rPr>
          <w:rFonts w:hint="eastAsia" w:ascii="仿宋" w:eastAsia="仿宋" w:cs="仿宋"/>
          <w:sz w:val="36"/>
          <w:szCs w:val="36"/>
          <w:lang w:bidi="ar-SA"/>
        </w:rPr>
      </w:pPr>
      <w:r>
        <w:rPr>
          <w:rFonts w:hint="eastAsia" w:ascii="仿宋" w:eastAsia="仿宋" w:cs="仿宋"/>
          <w:sz w:val="36"/>
          <w:szCs w:val="36"/>
          <w:lang w:bidi="ar-SA"/>
        </w:rPr>
        <w:t>合同格式及主要条款</w:t>
      </w:r>
    </w:p>
    <w:p w14:paraId="7DBEA436">
      <w:pPr>
        <w:spacing w:before="120" w:line="360" w:lineRule="auto"/>
        <w:jc w:val="center"/>
        <w:rPr>
          <w:rFonts w:hint="eastAsia" w:ascii="仿宋" w:eastAsia="仿宋" w:cs="仿宋"/>
          <w:b/>
          <w:bCs/>
          <w:sz w:val="28"/>
          <w:szCs w:val="28"/>
          <w:lang w:bidi="ar-SA"/>
        </w:rPr>
      </w:pPr>
      <w:r>
        <w:rPr>
          <w:rFonts w:hint="eastAsia" w:ascii="仿宋" w:eastAsia="仿宋" w:cs="仿宋"/>
          <w:b/>
          <w:bCs/>
          <w:sz w:val="28"/>
          <w:szCs w:val="28"/>
          <w:lang w:bidi="ar-SA"/>
        </w:rPr>
        <w:t>（参考格式）</w:t>
      </w:r>
    </w:p>
    <w:p w14:paraId="79B0F374">
      <w:pPr>
        <w:spacing w:line="360" w:lineRule="auto"/>
        <w:ind w:firstLine="482" w:firstLineChars="200"/>
        <w:jc w:val="left"/>
        <w:rPr>
          <w:rFonts w:hint="eastAsia" w:ascii="仿宋" w:hAnsi="仿宋" w:eastAsia="仿宋" w:cs="仿宋"/>
          <w:b/>
          <w:sz w:val="24"/>
          <w:szCs w:val="24"/>
          <w:lang w:eastAsia="zh-CN"/>
        </w:rPr>
      </w:pPr>
      <w:r>
        <w:rPr>
          <w:rFonts w:hint="eastAsia" w:ascii="仿宋" w:hAnsi="仿宋" w:eastAsia="仿宋" w:cs="仿宋"/>
          <w:b/>
          <w:sz w:val="24"/>
          <w:szCs w:val="24"/>
        </w:rPr>
        <w:t>采购人（甲方）：</w:t>
      </w:r>
      <w:r>
        <w:rPr>
          <w:rFonts w:hint="eastAsia" w:ascii="仿宋" w:hAnsi="仿宋" w:eastAsia="仿宋" w:cs="仿宋"/>
          <w:b/>
          <w:sz w:val="24"/>
          <w:szCs w:val="24"/>
          <w:lang w:eastAsia="zh-CN"/>
        </w:rPr>
        <w:t>西安市农业农村局</w:t>
      </w:r>
    </w:p>
    <w:p w14:paraId="69B23C7A">
      <w:pPr>
        <w:spacing w:line="360" w:lineRule="auto"/>
        <w:ind w:firstLine="482" w:firstLineChars="200"/>
        <w:jc w:val="left"/>
        <w:rPr>
          <w:rFonts w:hint="eastAsia" w:ascii="仿宋" w:hAnsi="仿宋" w:eastAsia="仿宋" w:cs="仿宋"/>
          <w:b/>
          <w:sz w:val="24"/>
          <w:szCs w:val="24"/>
        </w:rPr>
      </w:pPr>
      <w:r>
        <w:rPr>
          <w:rFonts w:hint="eastAsia" w:ascii="仿宋" w:hAnsi="仿宋" w:eastAsia="仿宋" w:cs="仿宋"/>
          <w:b/>
          <w:sz w:val="24"/>
          <w:szCs w:val="24"/>
        </w:rPr>
        <w:t>供应商（乙方）：</w:t>
      </w:r>
    </w:p>
    <w:p w14:paraId="4852BFD8">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根据《中华人民共和国民法典》、《中华人民共和国政府采购法》与项目行业有关的法律法规，以及本项目相关采购要求的规定，合同双方就乙方向采购方提供</w:t>
      </w:r>
      <w:r>
        <w:rPr>
          <w:rFonts w:hint="eastAsia" w:ascii="仿宋" w:hAnsi="仿宋" w:eastAsia="仿宋" w:cs="仿宋"/>
          <w:sz w:val="24"/>
          <w:szCs w:val="24"/>
          <w:u w:val="single"/>
        </w:rPr>
        <w:t xml:space="preserve">2025年度农产品质量安全专项和应急风险监测项目 </w:t>
      </w:r>
      <w:r>
        <w:rPr>
          <w:rFonts w:hint="eastAsia" w:ascii="仿宋" w:hAnsi="仿宋" w:eastAsia="仿宋" w:cs="仿宋"/>
          <w:sz w:val="24"/>
          <w:szCs w:val="24"/>
        </w:rPr>
        <w:t>服务事宜，经协商达成一致，确立本合同。</w:t>
      </w:r>
    </w:p>
    <w:p w14:paraId="35990395">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第一条 合同标的及付款方式</w:t>
      </w:r>
    </w:p>
    <w:p w14:paraId="701C8ECB">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1、合同标的及标的物</w:t>
      </w:r>
    </w:p>
    <w:p w14:paraId="34C9ED35">
      <w:pPr>
        <w:spacing w:line="500" w:lineRule="exact"/>
        <w:ind w:firstLine="480" w:firstLineChars="200"/>
        <w:rPr>
          <w:rFonts w:hint="default" w:ascii="仿宋" w:hAnsi="仿宋" w:eastAsia="仿宋" w:cs="仿宋"/>
          <w:sz w:val="24"/>
          <w:szCs w:val="24"/>
          <w:lang w:val="en-US"/>
        </w:rPr>
      </w:pPr>
      <w:r>
        <w:rPr>
          <w:rFonts w:hint="eastAsia" w:ascii="仿宋" w:hAnsi="仿宋" w:eastAsia="仿宋" w:cs="仿宋"/>
          <w:sz w:val="24"/>
          <w:szCs w:val="24"/>
          <w:lang w:eastAsia="zh-CN"/>
        </w:rPr>
        <w:t>农产品质量安全专项和应急风险监测项目</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包</w:t>
      </w:r>
    </w:p>
    <w:p w14:paraId="2E7F8FD1">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2、费用标准</w:t>
      </w:r>
    </w:p>
    <w:p w14:paraId="575FFA9B">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元整 ，（人民币小写 </w:t>
      </w:r>
      <w:r>
        <w:rPr>
          <w:rFonts w:hint="eastAsia" w:ascii="仿宋" w:hAnsi="仿宋" w:eastAsia="仿宋" w:cs="仿宋"/>
          <w:sz w:val="24"/>
          <w:szCs w:val="24"/>
          <w:u w:val="single"/>
        </w:rPr>
        <w:t xml:space="preserve">   </w:t>
      </w:r>
      <w:r>
        <w:rPr>
          <w:rFonts w:hint="eastAsia" w:ascii="仿宋" w:hAnsi="仿宋" w:eastAsia="仿宋" w:cs="仿宋"/>
          <w:sz w:val="24"/>
          <w:szCs w:val="24"/>
        </w:rPr>
        <w:t>元整 ）。该费用为含税价，包含</w:t>
      </w:r>
      <w:r>
        <w:rPr>
          <w:rFonts w:hint="eastAsia" w:ascii="仿宋" w:hAnsi="仿宋" w:eastAsia="仿宋" w:cs="仿宋"/>
          <w:sz w:val="24"/>
          <w:szCs w:val="24"/>
          <w:lang w:val="en-US" w:eastAsia="zh-CN"/>
        </w:rPr>
        <w:t>服务</w:t>
      </w:r>
      <w:r>
        <w:rPr>
          <w:rFonts w:hint="eastAsia" w:ascii="仿宋" w:hAnsi="仿宋" w:eastAsia="仿宋" w:cs="仿宋"/>
          <w:sz w:val="24"/>
          <w:szCs w:val="24"/>
        </w:rPr>
        <w:t>费、实施费、管</w:t>
      </w:r>
      <w:r>
        <w:rPr>
          <w:rFonts w:hint="eastAsia" w:ascii="仿宋" w:hAnsi="仿宋" w:eastAsia="仿宋" w:cs="仿宋"/>
          <w:sz w:val="24"/>
          <w:szCs w:val="24"/>
          <w:highlight w:val="none"/>
        </w:rPr>
        <w:t>理费、人工费、保险费、税费等乙方完成本合同全部义务的所有费用。</w:t>
      </w:r>
    </w:p>
    <w:p w14:paraId="3C8254F7">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3、结</w:t>
      </w:r>
      <w:r>
        <w:rPr>
          <w:rFonts w:hint="eastAsia" w:ascii="仿宋" w:hAnsi="仿宋" w:eastAsia="仿宋" w:cs="仿宋"/>
          <w:color w:val="auto"/>
          <w:sz w:val="24"/>
          <w:szCs w:val="24"/>
          <w:highlight w:val="none"/>
        </w:rPr>
        <w:t>算方式</w:t>
      </w:r>
    </w:p>
    <w:p w14:paraId="65A04016">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（1）付款比例：</w:t>
      </w:r>
    </w:p>
    <w:p w14:paraId="7825433A">
      <w:pPr>
        <w:numPr>
          <w:ilvl w:val="0"/>
          <w:numId w:val="1"/>
        </w:num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乙方收款账户信息</w:t>
      </w:r>
    </w:p>
    <w:p w14:paraId="4806AE2C">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户 名：</w:t>
      </w:r>
    </w:p>
    <w:p w14:paraId="1B40A32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开户行：</w:t>
      </w:r>
    </w:p>
    <w:p w14:paraId="791AD0E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账 号： </w:t>
      </w:r>
    </w:p>
    <w:p w14:paraId="2CFB7B19">
      <w:pPr>
        <w:numPr>
          <w:ilvl w:val="0"/>
          <w:numId w:val="1"/>
        </w:num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甲方开票信息</w:t>
      </w:r>
    </w:p>
    <w:p w14:paraId="0A538D62">
      <w:pPr>
        <w:spacing w:line="50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户  名：</w:t>
      </w:r>
      <w:r>
        <w:rPr>
          <w:rFonts w:hint="eastAsia" w:ascii="仿宋" w:hAnsi="仿宋" w:eastAsia="仿宋" w:cs="仿宋"/>
          <w:sz w:val="24"/>
          <w:szCs w:val="24"/>
          <w:lang w:eastAsia="zh-CN"/>
        </w:rPr>
        <w:t>西安市农业农村局</w:t>
      </w:r>
    </w:p>
    <w:p w14:paraId="1C0E4D94">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税  号：</w:t>
      </w:r>
    </w:p>
    <w:p w14:paraId="7E8B7D4D">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开户行：</w:t>
      </w:r>
    </w:p>
    <w:p w14:paraId="57DA1595">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账  号：</w:t>
      </w:r>
    </w:p>
    <w:p w14:paraId="00DE8648">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  址：</w:t>
      </w:r>
    </w:p>
    <w:p w14:paraId="1AD18E9F">
      <w:pPr>
        <w:numPr>
          <w:ilvl w:val="0"/>
          <w:numId w:val="2"/>
        </w:num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服务期限：</w:t>
      </w:r>
    </w:p>
    <w:p w14:paraId="7D7DCCF2">
      <w:pPr>
        <w:numPr>
          <w:numId w:val="0"/>
        </w:numPr>
        <w:spacing w:line="500" w:lineRule="exact"/>
        <w:ind w:firstLine="480" w:firstLineChars="200"/>
        <w:rPr>
          <w:rFonts w:hint="eastAsia" w:ascii="仿宋" w:hAnsi="仿宋" w:eastAsia="仿宋" w:cs="仿宋"/>
          <w:sz w:val="24"/>
          <w:szCs w:val="24"/>
        </w:rPr>
      </w:pPr>
      <w:bookmarkStart w:id="0" w:name="_GoBack"/>
      <w:bookmarkEnd w:id="0"/>
      <w:r>
        <w:rPr>
          <w:rFonts w:hint="eastAsia" w:ascii="仿宋" w:hAnsi="仿宋" w:eastAsia="仿宋" w:cs="仿宋"/>
          <w:sz w:val="24"/>
          <w:szCs w:val="24"/>
        </w:rPr>
        <w:t>第三条 服务内容及标准</w:t>
      </w:r>
    </w:p>
    <w:p w14:paraId="3A35C4F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具体内容以</w:t>
      </w:r>
      <w:r>
        <w:rPr>
          <w:rFonts w:hint="eastAsia" w:ascii="仿宋" w:hAnsi="仿宋" w:eastAsia="仿宋" w:cs="仿宋"/>
          <w:sz w:val="24"/>
          <w:szCs w:val="24"/>
          <w:lang w:eastAsia="zh-CN"/>
        </w:rPr>
        <w:t>磋商文件</w:t>
      </w:r>
      <w:r>
        <w:rPr>
          <w:rFonts w:hint="eastAsia" w:ascii="仿宋" w:hAnsi="仿宋" w:eastAsia="仿宋" w:cs="仿宋"/>
          <w:sz w:val="24"/>
          <w:szCs w:val="24"/>
        </w:rPr>
        <w:t>以及</w:t>
      </w:r>
      <w:r>
        <w:rPr>
          <w:rFonts w:hint="eastAsia" w:ascii="仿宋" w:hAnsi="仿宋" w:eastAsia="仿宋" w:cs="仿宋"/>
          <w:sz w:val="24"/>
          <w:szCs w:val="24"/>
          <w:lang w:eastAsia="zh-CN"/>
        </w:rPr>
        <w:t>成交供应商</w:t>
      </w:r>
      <w:r>
        <w:rPr>
          <w:rFonts w:hint="eastAsia" w:ascii="仿宋" w:hAnsi="仿宋" w:eastAsia="仿宋" w:cs="仿宋"/>
          <w:sz w:val="24"/>
          <w:szCs w:val="24"/>
        </w:rPr>
        <w:t>“</w:t>
      </w:r>
      <w:r>
        <w:rPr>
          <w:rFonts w:hint="eastAsia" w:ascii="仿宋" w:hAnsi="仿宋" w:eastAsia="仿宋" w:cs="仿宋"/>
          <w:sz w:val="24"/>
          <w:szCs w:val="24"/>
          <w:lang w:eastAsia="zh-CN"/>
        </w:rPr>
        <w:t>响应文件</w:t>
      </w:r>
      <w:r>
        <w:rPr>
          <w:rFonts w:hint="eastAsia" w:ascii="仿宋" w:hAnsi="仿宋" w:eastAsia="仿宋" w:cs="仿宋"/>
          <w:sz w:val="24"/>
          <w:szCs w:val="24"/>
        </w:rPr>
        <w:t>”为准。</w:t>
      </w:r>
    </w:p>
    <w:p w14:paraId="286D936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第四条 双方权利及义务</w:t>
      </w:r>
    </w:p>
    <w:p w14:paraId="43C8813A">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1、甲乙双方必须遵守本合同并执行合同中的各项规定，保证本合同的正常履行。</w:t>
      </w:r>
    </w:p>
    <w:p w14:paraId="66BF63AD">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2、甲方有权根据本合同所约定的内容及标准，对乙方提供的服务进度和服务质量进行检查，如乙方提供的服务质量不符合本合同的约定，甲方有权要求乙方在指定时间内作出补充或修正。</w:t>
      </w:r>
    </w:p>
    <w:p w14:paraId="66EADAD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、甲方有权对乙方的服务成果、服务实施等提出要求或修改建议，乙方应按甲方要求或修改建议进行完善或修改。</w:t>
      </w:r>
    </w:p>
    <w:p w14:paraId="195D8EE3">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、乙方确保本项目涉及统计内容等均不侵犯任何第三方权利，否则应当承担侵权责任，如因此对甲方造成损失的，还应赔偿甲方损失。</w:t>
      </w:r>
    </w:p>
    <w:p w14:paraId="4A0E700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、本项目的相关资料（包括履约过程中获取的相关资料）在未经甲方书面同意的情况下不得用作其他地方。</w:t>
      </w:r>
    </w:p>
    <w:p w14:paraId="1C9F93D2">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五</w:t>
      </w:r>
      <w:r>
        <w:rPr>
          <w:rFonts w:hint="eastAsia" w:ascii="仿宋" w:hAnsi="仿宋" w:eastAsia="仿宋" w:cs="仿宋"/>
          <w:sz w:val="24"/>
          <w:szCs w:val="24"/>
        </w:rPr>
        <w:t>条 验收交付标准和方法</w:t>
      </w:r>
    </w:p>
    <w:p w14:paraId="5D55A7D1">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履约验收单作为对服务的最终认可。</w:t>
      </w:r>
    </w:p>
    <w:p w14:paraId="3EC203D1">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乙方向甲方提交服务实施过程中的所有资料</w:t>
      </w:r>
      <w:r>
        <w:rPr>
          <w:rFonts w:hint="eastAsia" w:ascii="仿宋" w:hAnsi="仿宋" w:eastAsia="仿宋" w:cs="仿宋"/>
          <w:sz w:val="24"/>
          <w:szCs w:val="24"/>
          <w:lang w:eastAsia="zh-CN"/>
        </w:rPr>
        <w:t>，</w:t>
      </w:r>
      <w:r>
        <w:rPr>
          <w:rFonts w:hint="eastAsia" w:ascii="仿宋" w:hAnsi="仿宋" w:eastAsia="仿宋" w:cs="仿宋"/>
          <w:sz w:val="24"/>
          <w:szCs w:val="24"/>
        </w:rPr>
        <w:t xml:space="preserve">以便甲方日后管理和维护。 </w:t>
      </w:r>
    </w:p>
    <w:p w14:paraId="44D0BBF1">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验收依据：</w:t>
      </w:r>
    </w:p>
    <w:p w14:paraId="2B9CF9E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sz w:val="24"/>
          <w:szCs w:val="24"/>
        </w:rPr>
        <w:t>磋商文件、响应文件、澄清表（函）；</w:t>
      </w:r>
    </w:p>
    <w:p w14:paraId="37A62183">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本合同及附件文本；</w:t>
      </w:r>
    </w:p>
    <w:p w14:paraId="4F6577DD">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sz w:val="24"/>
          <w:szCs w:val="24"/>
        </w:rPr>
        <w:t>国家相应的标准、规范。</w:t>
      </w:r>
    </w:p>
    <w:p w14:paraId="5D00EEB7">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第六条 知识产权归属和处理方式</w:t>
      </w:r>
    </w:p>
    <w:p w14:paraId="66E090E0">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7DD0E85">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第七条 成本补偿和风险分担约定</w:t>
      </w:r>
    </w:p>
    <w:p w14:paraId="3B8C1C64">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538F720">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（2）本条款为独立条款，本合同的无效、变更、解除和终止均不影响本条款的效力。</w:t>
      </w:r>
    </w:p>
    <w:p w14:paraId="74C9AC7A">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（3）双方拟定的其他条款。</w:t>
      </w:r>
    </w:p>
    <w:p w14:paraId="2B2C3210">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第八条 违约责任与解决争议的方法</w:t>
      </w:r>
    </w:p>
    <w:p w14:paraId="1734AA35">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1、违约责任</w:t>
      </w:r>
    </w:p>
    <w:p w14:paraId="3070E7DD">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（1）合同中未约定的，按《民法典》中的相关条款执行。 </w:t>
      </w:r>
    </w:p>
    <w:p w14:paraId="2C4B141C">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未按合同要求提供服务或服务质量不能满足合同要求不能满足合同要求，甲方应当将乙方违约的情况以及拟采取的措施以书面形式报政府采购监管部门，根据政府采购监管部门的处理意见，甲方有权依据《民法典》有关条款及合同约定解除合同，乙方应向甲方支付合同总价款20％的违约金。同时，政府采购监管部门有权依据《政府釆购法》及相关法律法规对乙方的违法行为进行相应的处罚。</w:t>
      </w:r>
    </w:p>
    <w:p w14:paraId="64C50ECC">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（3）在本合同履行过程中，双方因违约或造成对方经济、社会效益等损失的应当赔偿。</w:t>
      </w:r>
    </w:p>
    <w:p w14:paraId="217D88FA">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（4）甲方无正当理由拒绝接受服务的，需向乙方偿付本合同总价款20%的违约金。甲方逾期付款的，则每日按逾期金额的1%向乙方偿付违约金，若违约金不能弥补甲方损失，乙方还应赔偿损失。</w:t>
      </w:r>
    </w:p>
    <w:p w14:paraId="29BD55AB">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（5）乙方提供的服务不符合本项目相关文件和本合同规定的，甲方有权拒绝，并且乙方须向甲方支付本合同总价款10%的违约金，若违约金不能弥补甲方损失，乙方还应赔偿损失。</w:t>
      </w:r>
    </w:p>
    <w:p w14:paraId="72FC913F">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（6）未经甲方同意，乙方不得擅自将本合同服务转包第三方承担。</w:t>
      </w:r>
    </w:p>
    <w:p w14:paraId="102F12E7">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（7）本合同中各条款约定的违约金可自甲方未支付款项中直接扣除，违约金若不能弥补甲方损失的，乙方还应赔偿甲方损失。</w:t>
      </w:r>
    </w:p>
    <w:p w14:paraId="554554B3">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（8）双方拟定的其他条款。</w:t>
      </w:r>
    </w:p>
    <w:p w14:paraId="040C115C">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2、解决争议</w:t>
      </w:r>
    </w:p>
    <w:p w14:paraId="46B12890">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（1）本合同在履行过程中发生的争议，由甲、乙双方当事人协商解决，协商不成的按下列第</w:t>
      </w:r>
      <w:r>
        <w:rPr>
          <w:rFonts w:hint="eastAsia" w:ascii="仿宋" w:hAnsi="仿宋" w:eastAsia="仿宋" w:cs="仿宋"/>
          <w:sz w:val="24"/>
          <w:szCs w:val="24"/>
          <w:u w:val="single"/>
          <w:lang w:val="en-US" w:eastAsia="zh-CN"/>
        </w:rPr>
        <w:t>2</w:t>
      </w:r>
      <w:r>
        <w:rPr>
          <w:rFonts w:hint="eastAsia" w:ascii="仿宋" w:hAnsi="仿宋" w:eastAsia="仿宋" w:cs="仿宋"/>
          <w:sz w:val="24"/>
          <w:szCs w:val="24"/>
          <w:lang w:val="en-US" w:eastAsia="zh-CN"/>
        </w:rPr>
        <w:t>种方式解决：</w:t>
      </w:r>
    </w:p>
    <w:p w14:paraId="22BA5286">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1）提交西安仲裁委员会仲裁；</w:t>
      </w:r>
    </w:p>
    <w:p w14:paraId="4AEEF764">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2）依法向甲方所在地人民法院起诉。</w:t>
      </w:r>
    </w:p>
    <w:p w14:paraId="4DB564F8">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（2）本条款为独立条款，本合同的无效、变更、解除和终止均不影响本条款的效力。</w:t>
      </w:r>
    </w:p>
    <w:p w14:paraId="68B13DAF">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九</w:t>
      </w:r>
      <w:r>
        <w:rPr>
          <w:rFonts w:hint="eastAsia" w:ascii="仿宋" w:hAnsi="仿宋" w:eastAsia="仿宋" w:cs="仿宋"/>
          <w:sz w:val="24"/>
          <w:szCs w:val="24"/>
        </w:rPr>
        <w:t>条 合同其他条款</w:t>
      </w:r>
    </w:p>
    <w:p w14:paraId="135F0314">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监督部门在合同的履行期间以及履行期后，可以随时检查项目的执行情况，对采购标准、采购内容进行调查核实，并对发现的问题进行处理。</w:t>
      </w:r>
    </w:p>
    <w:p w14:paraId="797C9137">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磋商文件、响应文件、澄清表（函）、成交通知书、合同附件均成为合同不可分割的部分。</w:t>
      </w:r>
    </w:p>
    <w:p w14:paraId="02CC958C">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甲乙双方因不可抗力导致本合同全部或部分不能履行时，发生不可抗力的一方应当在不可抗力发生后30天内书面通知对方，以减轻可能给对方造成的损失。因不可抗力导致本合同全部或部分不能履行时，双方各自承担其因此而造成的损失、损害。</w:t>
      </w:r>
    </w:p>
    <w:p w14:paraId="4EE12E9B">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合同未尽事宜，由甲、乙双方协商后签订政府采购补充合同，与原合同具有同等法律效力。</w:t>
      </w:r>
    </w:p>
    <w:p w14:paraId="431B7984">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份，甲乙双方各执</w:t>
      </w:r>
      <w:r>
        <w:rPr>
          <w:rFonts w:hint="eastAsia" w:ascii="仿宋" w:hAnsi="仿宋" w:eastAsia="仿宋" w:cs="仿宋"/>
          <w:sz w:val="24"/>
          <w:szCs w:val="24"/>
          <w:u w:val="single"/>
        </w:rPr>
        <w:t xml:space="preserve">  </w:t>
      </w:r>
      <w:r>
        <w:rPr>
          <w:rFonts w:hint="eastAsia" w:ascii="仿宋" w:hAnsi="仿宋" w:eastAsia="仿宋" w:cs="仿宋"/>
          <w:sz w:val="24"/>
          <w:szCs w:val="24"/>
        </w:rPr>
        <w:t>份，监管部门备案</w:t>
      </w:r>
      <w:r>
        <w:rPr>
          <w:rFonts w:hint="eastAsia" w:ascii="仿宋" w:hAnsi="仿宋" w:eastAsia="仿宋" w:cs="仿宋"/>
          <w:sz w:val="24"/>
          <w:szCs w:val="24"/>
          <w:u w:val="single"/>
        </w:rPr>
        <w:t xml:space="preserve">   </w:t>
      </w:r>
      <w:r>
        <w:rPr>
          <w:rFonts w:hint="eastAsia" w:ascii="仿宋" w:hAnsi="仿宋" w:eastAsia="仿宋" w:cs="仿宋"/>
          <w:sz w:val="24"/>
          <w:szCs w:val="24"/>
        </w:rPr>
        <w:t>份，均具有同等效力。</w:t>
      </w:r>
    </w:p>
    <w:p w14:paraId="3A6DF346">
      <w:pPr>
        <w:spacing w:line="500" w:lineRule="exact"/>
        <w:ind w:firstLine="480" w:firstLineChars="200"/>
        <w:rPr>
          <w:rFonts w:hint="eastAsia" w:ascii="仿宋" w:hAnsi="仿宋" w:eastAsia="仿宋" w:cs="仿宋"/>
          <w:szCs w:val="21"/>
        </w:rPr>
      </w:pPr>
      <w:r>
        <w:rPr>
          <w:rFonts w:hint="eastAsia" w:ascii="仿宋" w:hAnsi="仿宋" w:eastAsia="仿宋" w:cs="仿宋"/>
          <w:sz w:val="24"/>
          <w:szCs w:val="24"/>
          <w:lang w:val="en-US" w:eastAsia="zh-CN"/>
        </w:rPr>
        <w:t>6</w:t>
      </w:r>
      <w:r>
        <w:rPr>
          <w:rFonts w:hint="eastAsia" w:ascii="仿宋" w:hAnsi="仿宋" w:eastAsia="仿宋" w:cs="仿宋"/>
          <w:sz w:val="24"/>
          <w:szCs w:val="24"/>
        </w:rPr>
        <w:t>、甲方的</w:t>
      </w:r>
      <w:r>
        <w:rPr>
          <w:rFonts w:hint="eastAsia" w:ascii="仿宋" w:hAnsi="仿宋" w:eastAsia="仿宋" w:cs="仿宋"/>
          <w:sz w:val="24"/>
          <w:szCs w:val="24"/>
          <w:lang w:eastAsia="zh-CN"/>
        </w:rPr>
        <w:t>磋商文件</w:t>
      </w:r>
      <w:r>
        <w:rPr>
          <w:rFonts w:hint="eastAsia" w:ascii="仿宋" w:hAnsi="仿宋" w:eastAsia="仿宋" w:cs="仿宋"/>
          <w:sz w:val="24"/>
          <w:szCs w:val="24"/>
        </w:rPr>
        <w:t>中</w:t>
      </w:r>
      <w:r>
        <w:rPr>
          <w:rFonts w:hint="eastAsia" w:ascii="仿宋" w:hAnsi="仿宋" w:eastAsia="仿宋" w:cs="仿宋"/>
          <w:sz w:val="24"/>
          <w:szCs w:val="24"/>
          <w:lang w:val="en-US" w:eastAsia="zh-CN"/>
        </w:rPr>
        <w:t>采购需求</w:t>
      </w:r>
      <w:r>
        <w:rPr>
          <w:rFonts w:hint="eastAsia" w:ascii="仿宋" w:hAnsi="仿宋" w:eastAsia="仿宋" w:cs="仿宋"/>
          <w:sz w:val="24"/>
          <w:szCs w:val="24"/>
        </w:rPr>
        <w:t>以及乙方“</w:t>
      </w:r>
      <w:r>
        <w:rPr>
          <w:rFonts w:hint="eastAsia" w:ascii="仿宋" w:hAnsi="仿宋" w:eastAsia="仿宋" w:cs="仿宋"/>
          <w:sz w:val="24"/>
          <w:szCs w:val="24"/>
          <w:lang w:eastAsia="zh-CN"/>
        </w:rPr>
        <w:t>响应文件</w:t>
      </w:r>
      <w:r>
        <w:rPr>
          <w:rFonts w:hint="eastAsia" w:ascii="仿宋" w:hAnsi="仿宋" w:eastAsia="仿宋" w:cs="仿宋"/>
          <w:sz w:val="24"/>
          <w:szCs w:val="24"/>
        </w:rPr>
        <w:t>”为本合同不可分割的一部分，与本合同具有同等效力；如有不一致之处，以本合同约定为准。</w:t>
      </w:r>
    </w:p>
    <w:p w14:paraId="51FF49B0">
      <w:pPr>
        <w:pStyle w:val="13"/>
        <w:spacing w:line="360" w:lineRule="auto"/>
        <w:rPr>
          <w:rFonts w:hint="eastAsia" w:ascii="仿宋" w:hAnsi="仿宋" w:eastAsia="仿宋" w:cs="宋体"/>
          <w:color w:val="auto"/>
        </w:rPr>
        <w:sectPr>
          <w:headerReference r:id="rId4" w:type="first"/>
          <w:headerReference r:id="rId3" w:type="default"/>
          <w:footerReference r:id="rId5" w:type="default"/>
          <w:pgSz w:w="11906" w:h="16838"/>
          <w:pgMar w:top="1418" w:right="1418" w:bottom="1418" w:left="1418" w:header="851" w:footer="964" w:gutter="0"/>
          <w:cols w:space="720" w:num="1"/>
          <w:titlePg/>
          <w:docGrid w:linePitch="312" w:charSpace="0"/>
        </w:sectPr>
      </w:pPr>
    </w:p>
    <w:p w14:paraId="4D17E9DE">
      <w:pPr>
        <w:pStyle w:val="13"/>
        <w:spacing w:line="360" w:lineRule="auto"/>
        <w:rPr>
          <w:rFonts w:hint="eastAsia" w:ascii="仿宋" w:hAnsi="仿宋" w:eastAsia="仿宋" w:cs="宋体"/>
          <w:color w:val="auto"/>
        </w:rPr>
      </w:pPr>
      <w:r>
        <w:rPr>
          <w:rFonts w:hint="eastAsia" w:ascii="仿宋" w:hAnsi="仿宋" w:eastAsia="仿宋" w:cs="宋体"/>
          <w:color w:val="auto"/>
        </w:rPr>
        <w:t>此页无正文</w:t>
      </w:r>
    </w:p>
    <w:p w14:paraId="47354C05">
      <w:pPr>
        <w:spacing w:line="360" w:lineRule="auto"/>
        <w:rPr>
          <w:rFonts w:ascii="仿宋" w:hAnsi="仿宋" w:eastAsia="仿宋"/>
          <w:sz w:val="24"/>
          <w:szCs w:val="24"/>
        </w:rPr>
      </w:pPr>
    </w:p>
    <w:tbl>
      <w:tblPr>
        <w:tblStyle w:val="9"/>
        <w:tblW w:w="0" w:type="auto"/>
        <w:jc w:val="center"/>
        <w:tblLayout w:type="fixed"/>
        <w:tblCellMar>
          <w:top w:w="0" w:type="dxa"/>
          <w:left w:w="108" w:type="dxa"/>
          <w:bottom w:w="0" w:type="dxa"/>
          <w:right w:w="108" w:type="dxa"/>
        </w:tblCellMar>
      </w:tblPr>
      <w:tblGrid>
        <w:gridCol w:w="4643"/>
        <w:gridCol w:w="4643"/>
      </w:tblGrid>
      <w:tr w14:paraId="099540E5">
        <w:tblPrEx>
          <w:tblCellMar>
            <w:top w:w="0" w:type="dxa"/>
            <w:left w:w="108" w:type="dxa"/>
            <w:bottom w:w="0" w:type="dxa"/>
            <w:right w:w="108" w:type="dxa"/>
          </w:tblCellMar>
        </w:tblPrEx>
        <w:trPr>
          <w:jc w:val="center"/>
        </w:trPr>
        <w:tc>
          <w:tcPr>
            <w:tcW w:w="4643" w:type="dxa"/>
            <w:noWrap w:val="0"/>
            <w:vAlign w:val="top"/>
          </w:tcPr>
          <w:p w14:paraId="465F8F52">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甲方名称</w:t>
            </w:r>
            <w:r>
              <w:rPr>
                <w:rFonts w:hint="eastAsia" w:ascii="仿宋" w:hAnsi="仿宋" w:eastAsia="仿宋"/>
                <w:spacing w:val="-20"/>
                <w:kern w:val="0"/>
                <w:sz w:val="24"/>
                <w:szCs w:val="24"/>
              </w:rPr>
              <w:t>（盖章）</w:t>
            </w:r>
            <w:r>
              <w:rPr>
                <w:rFonts w:hint="eastAsia" w:ascii="仿宋" w:hAnsi="仿宋" w:eastAsia="仿宋"/>
                <w:kern w:val="0"/>
                <w:sz w:val="24"/>
                <w:szCs w:val="24"/>
              </w:rPr>
              <w:t>:</w:t>
            </w:r>
          </w:p>
          <w:p w14:paraId="0D5F2308">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地址：</w:t>
            </w:r>
          </w:p>
          <w:p w14:paraId="69EAE5D3">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代表人（签字）：</w:t>
            </w:r>
          </w:p>
          <w:p w14:paraId="76218589">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电话：</w:t>
            </w:r>
          </w:p>
          <w:p w14:paraId="0A62F539">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开户银行：</w:t>
            </w:r>
          </w:p>
          <w:p w14:paraId="60C1CEAB">
            <w:pPr>
              <w:widowControl/>
              <w:autoSpaceDE w:val="0"/>
              <w:autoSpaceDN w:val="0"/>
              <w:snapToGrid w:val="0"/>
              <w:spacing w:line="360" w:lineRule="auto"/>
              <w:ind w:right="-154"/>
              <w:textAlignment w:val="bottom"/>
              <w:rPr>
                <w:rFonts w:ascii="仿宋" w:hAnsi="仿宋" w:eastAsia="仿宋"/>
                <w:kern w:val="0"/>
                <w:sz w:val="24"/>
                <w:szCs w:val="24"/>
              </w:rPr>
            </w:pPr>
            <w:r>
              <w:rPr>
                <w:rFonts w:hint="eastAsia" w:ascii="仿宋" w:hAnsi="仿宋" w:eastAsia="仿宋"/>
                <w:kern w:val="0"/>
                <w:sz w:val="24"/>
                <w:szCs w:val="24"/>
              </w:rPr>
              <w:t>帐号：</w:t>
            </w:r>
          </w:p>
          <w:p w14:paraId="4D0971D6">
            <w:pPr>
              <w:pStyle w:val="13"/>
              <w:spacing w:line="360" w:lineRule="auto"/>
              <w:rPr>
                <w:rFonts w:ascii="仿宋" w:hAnsi="仿宋" w:eastAsia="仿宋"/>
                <w:color w:val="auto"/>
              </w:rPr>
            </w:pPr>
            <w:r>
              <w:rPr>
                <w:rFonts w:hint="eastAsia" w:ascii="仿宋" w:hAnsi="仿宋" w:eastAsia="仿宋"/>
                <w:color w:val="auto"/>
              </w:rPr>
              <w:t xml:space="preserve">签订日期： </w:t>
            </w:r>
            <w:r>
              <w:rPr>
                <w:rFonts w:ascii="仿宋" w:hAnsi="仿宋" w:eastAsia="仿宋"/>
                <w:color w:val="auto"/>
              </w:rPr>
              <w:t xml:space="preserve">   </w:t>
            </w:r>
            <w:r>
              <w:rPr>
                <w:rFonts w:hint="eastAsia" w:ascii="仿宋" w:hAnsi="仿宋" w:eastAsia="仿宋"/>
                <w:color w:val="auto"/>
              </w:rPr>
              <w:t xml:space="preserve">年 </w:t>
            </w:r>
            <w:r>
              <w:rPr>
                <w:rFonts w:ascii="仿宋" w:hAnsi="仿宋" w:eastAsia="仿宋"/>
                <w:color w:val="auto"/>
              </w:rPr>
              <w:t xml:space="preserve">  </w:t>
            </w:r>
            <w:r>
              <w:rPr>
                <w:rFonts w:hint="eastAsia" w:ascii="仿宋" w:hAnsi="仿宋" w:eastAsia="仿宋"/>
                <w:color w:val="auto"/>
              </w:rPr>
              <w:t xml:space="preserve">月 </w:t>
            </w:r>
            <w:r>
              <w:rPr>
                <w:rFonts w:ascii="仿宋" w:hAnsi="仿宋" w:eastAsia="仿宋"/>
                <w:color w:val="auto"/>
              </w:rPr>
              <w:t xml:space="preserve"> </w:t>
            </w:r>
            <w:r>
              <w:rPr>
                <w:rFonts w:hint="eastAsia" w:ascii="仿宋" w:hAnsi="仿宋" w:eastAsia="仿宋"/>
                <w:color w:val="auto"/>
              </w:rPr>
              <w:t>日</w:t>
            </w:r>
          </w:p>
          <w:p w14:paraId="4BEFFA83">
            <w:pPr>
              <w:pStyle w:val="13"/>
              <w:spacing w:line="360" w:lineRule="auto"/>
              <w:rPr>
                <w:rFonts w:hint="eastAsia" w:ascii="仿宋" w:hAnsi="仿宋" w:eastAsia="仿宋"/>
                <w:color w:val="auto"/>
              </w:rPr>
            </w:pPr>
          </w:p>
          <w:p w14:paraId="3C1D2BAD">
            <w:pPr>
              <w:pStyle w:val="13"/>
              <w:spacing w:line="360" w:lineRule="auto"/>
              <w:rPr>
                <w:rFonts w:ascii="仿宋" w:hAnsi="仿宋" w:eastAsia="仿宋"/>
                <w:color w:val="auto"/>
              </w:rPr>
            </w:pPr>
          </w:p>
          <w:p w14:paraId="7D23EC8F">
            <w:pPr>
              <w:pStyle w:val="13"/>
              <w:spacing w:line="360" w:lineRule="auto"/>
              <w:rPr>
                <w:rFonts w:hint="eastAsia" w:ascii="仿宋" w:hAnsi="仿宋" w:eastAsia="仿宋"/>
                <w:color w:val="auto"/>
              </w:rPr>
            </w:pPr>
          </w:p>
        </w:tc>
        <w:tc>
          <w:tcPr>
            <w:tcW w:w="4643" w:type="dxa"/>
            <w:noWrap w:val="0"/>
            <w:vAlign w:val="top"/>
          </w:tcPr>
          <w:p w14:paraId="616039CE">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乙方名称</w:t>
            </w:r>
            <w:r>
              <w:rPr>
                <w:rFonts w:hint="eastAsia" w:ascii="仿宋" w:hAnsi="仿宋" w:eastAsia="仿宋"/>
                <w:spacing w:val="-20"/>
                <w:kern w:val="0"/>
                <w:sz w:val="24"/>
                <w:szCs w:val="24"/>
              </w:rPr>
              <w:t>（盖章）</w:t>
            </w:r>
            <w:r>
              <w:rPr>
                <w:rFonts w:hint="eastAsia" w:ascii="仿宋" w:hAnsi="仿宋" w:eastAsia="仿宋"/>
                <w:kern w:val="0"/>
                <w:sz w:val="24"/>
                <w:szCs w:val="24"/>
              </w:rPr>
              <w:t>:</w:t>
            </w:r>
          </w:p>
          <w:p w14:paraId="5916AE73">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地址：</w:t>
            </w:r>
          </w:p>
          <w:p w14:paraId="5FF646F5">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代表人（签字）：</w:t>
            </w:r>
          </w:p>
          <w:p w14:paraId="762D80A2">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电话：</w:t>
            </w:r>
          </w:p>
          <w:p w14:paraId="30CE18E4">
            <w:pPr>
              <w:widowControl/>
              <w:autoSpaceDE w:val="0"/>
              <w:autoSpaceDN w:val="0"/>
              <w:snapToGrid w:val="0"/>
              <w:spacing w:line="360" w:lineRule="auto"/>
              <w:ind w:right="-154"/>
              <w:textAlignment w:val="bottom"/>
              <w:rPr>
                <w:rFonts w:hint="eastAsia" w:ascii="仿宋" w:hAnsi="仿宋" w:eastAsia="仿宋"/>
                <w:kern w:val="0"/>
                <w:sz w:val="24"/>
                <w:szCs w:val="24"/>
              </w:rPr>
            </w:pPr>
            <w:r>
              <w:rPr>
                <w:rFonts w:hint="eastAsia" w:ascii="仿宋" w:hAnsi="仿宋" w:eastAsia="仿宋"/>
                <w:kern w:val="0"/>
                <w:sz w:val="24"/>
                <w:szCs w:val="24"/>
              </w:rPr>
              <w:t>开户银行：</w:t>
            </w:r>
          </w:p>
          <w:p w14:paraId="390D28AD">
            <w:pPr>
              <w:widowControl/>
              <w:autoSpaceDE w:val="0"/>
              <w:autoSpaceDN w:val="0"/>
              <w:snapToGrid w:val="0"/>
              <w:spacing w:line="360" w:lineRule="auto"/>
              <w:ind w:right="-154"/>
              <w:textAlignment w:val="bottom"/>
              <w:rPr>
                <w:rFonts w:ascii="仿宋" w:hAnsi="仿宋" w:eastAsia="仿宋"/>
                <w:kern w:val="0"/>
                <w:sz w:val="24"/>
                <w:szCs w:val="24"/>
              </w:rPr>
            </w:pPr>
            <w:r>
              <w:rPr>
                <w:rFonts w:hint="eastAsia" w:ascii="仿宋" w:hAnsi="仿宋" w:eastAsia="仿宋"/>
                <w:kern w:val="0"/>
                <w:sz w:val="24"/>
                <w:szCs w:val="24"/>
              </w:rPr>
              <w:t>帐号：</w:t>
            </w:r>
          </w:p>
          <w:p w14:paraId="5350242D">
            <w:pPr>
              <w:pStyle w:val="13"/>
              <w:spacing w:line="360" w:lineRule="auto"/>
              <w:rPr>
                <w:rFonts w:ascii="仿宋" w:hAnsi="仿宋" w:eastAsia="仿宋"/>
                <w:color w:val="auto"/>
              </w:rPr>
            </w:pPr>
            <w:r>
              <w:rPr>
                <w:rFonts w:hint="eastAsia" w:ascii="仿宋" w:hAnsi="仿宋" w:eastAsia="仿宋"/>
                <w:color w:val="auto"/>
              </w:rPr>
              <w:t xml:space="preserve">签订日期： </w:t>
            </w:r>
            <w:r>
              <w:rPr>
                <w:rFonts w:ascii="仿宋" w:hAnsi="仿宋" w:eastAsia="仿宋"/>
                <w:color w:val="auto"/>
              </w:rPr>
              <w:t xml:space="preserve">   </w:t>
            </w:r>
            <w:r>
              <w:rPr>
                <w:rFonts w:hint="eastAsia" w:ascii="仿宋" w:hAnsi="仿宋" w:eastAsia="仿宋"/>
                <w:color w:val="auto"/>
              </w:rPr>
              <w:t xml:space="preserve">年 </w:t>
            </w:r>
            <w:r>
              <w:rPr>
                <w:rFonts w:ascii="仿宋" w:hAnsi="仿宋" w:eastAsia="仿宋"/>
                <w:color w:val="auto"/>
              </w:rPr>
              <w:t xml:space="preserve">  </w:t>
            </w:r>
            <w:r>
              <w:rPr>
                <w:rFonts w:hint="eastAsia" w:ascii="仿宋" w:hAnsi="仿宋" w:eastAsia="仿宋"/>
                <w:color w:val="auto"/>
              </w:rPr>
              <w:t xml:space="preserve">月 </w:t>
            </w:r>
            <w:r>
              <w:rPr>
                <w:rFonts w:ascii="仿宋" w:hAnsi="仿宋" w:eastAsia="仿宋"/>
                <w:color w:val="auto"/>
              </w:rPr>
              <w:t xml:space="preserve"> </w:t>
            </w:r>
            <w:r>
              <w:rPr>
                <w:rFonts w:hint="eastAsia" w:ascii="仿宋" w:hAnsi="仿宋" w:eastAsia="仿宋"/>
                <w:color w:val="auto"/>
              </w:rPr>
              <w:t>日</w:t>
            </w:r>
          </w:p>
          <w:p w14:paraId="5E162EA8">
            <w:pPr>
              <w:pStyle w:val="13"/>
              <w:spacing w:line="360" w:lineRule="auto"/>
              <w:rPr>
                <w:rFonts w:hint="eastAsia" w:ascii="仿宋" w:hAnsi="仿宋" w:eastAsia="仿宋"/>
                <w:color w:val="auto"/>
              </w:rPr>
            </w:pPr>
          </w:p>
        </w:tc>
      </w:tr>
    </w:tbl>
    <w:p w14:paraId="76611E97">
      <w:pPr>
        <w:pStyle w:val="1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p w14:paraId="7D40F62A">
      <w:pPr>
        <w:pStyle w:val="14"/>
        <w:rPr>
          <w:rFonts w:hint="eastAsia" w:ascii="仿宋" w:hAnsi="仿宋" w:eastAsia="仿宋" w:cs="仿宋"/>
        </w:rPr>
      </w:pPr>
      <w:r>
        <w:rPr>
          <w:rFonts w:hint="eastAsia" w:ascii="仿宋" w:hAnsi="仿宋" w:eastAsia="仿宋" w:cs="仿宋"/>
        </w:rPr>
        <w:t xml:space="preserve"> </w:t>
      </w:r>
    </w:p>
    <w:p w14:paraId="757CE771">
      <w:pPr>
        <w:pStyle w:val="14"/>
        <w:rPr>
          <w:rFonts w:hint="eastAsia" w:ascii="仿宋" w:hAnsi="仿宋" w:eastAsia="仿宋" w:cs="仿宋"/>
          <w:lang w:val="en-US" w:eastAsia="zh-Hans"/>
        </w:rPr>
      </w:pPr>
    </w:p>
    <w:p w14:paraId="34C47BB3">
      <w:pPr>
        <w:rPr>
          <w:rFonts w:hint="eastAsia"/>
          <w:lang w:eastAsia="zh-CN"/>
        </w:rPr>
      </w:pPr>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8362C">
    <w:pPr>
      <w:pStyle w:val="6"/>
      <w:tabs>
        <w:tab w:val="right" w:pos="8820"/>
        <w:tab w:val="clear" w:pos="8306"/>
      </w:tabs>
      <w:ind w:right="77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338FE">
    <w:pPr>
      <w:pStyle w:val="6"/>
      <w:tabs>
        <w:tab w:val="right" w:pos="8820"/>
        <w:tab w:val="clear" w:pos="8306"/>
      </w:tabs>
      <w:ind w:right="77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00035">
    <w:pPr>
      <w:pStyle w:val="7"/>
      <w:pBdr>
        <w:bottom w:val="none" w:color="auto" w:sz="0" w:space="1"/>
      </w:pBdr>
      <w:tabs>
        <w:tab w:val="clear" w:pos="4153"/>
      </w:tabs>
      <w:ind w:firstLine="501" w:firstLineChars="0"/>
      <w:jc w:val="left"/>
      <w:rPr>
        <w:rFonts w:ascii="仿宋" w:hAnsi="仿宋" w:eastAsia="仿宋"/>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EAD55">
    <w:pPr>
      <w:pStyle w:val="7"/>
      <w:pBdr>
        <w:bottom w:val="none" w:color="auto" w:sz="0" w:space="1"/>
      </w:pBdr>
    </w:pPr>
    <w:r>
      <w:rPr>
        <w:rFonts w:hint="eastAsia" w:ascii="仿宋" w:hAnsi="仿宋" w:eastAsia="仿宋" w:cs="宋体"/>
        <w:b/>
        <w:bCs/>
        <w:color w:val="333333"/>
        <w:sz w:val="21"/>
        <w:szCs w:val="21"/>
        <w:shd w:val="clear" w:color="auto" w:fill="FFFFFF"/>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6AB06">
    <w:pPr>
      <w:pStyle w:val="7"/>
      <w:pBdr>
        <w:bottom w:val="none" w:color="auto" w:sz="0" w:space="1"/>
      </w:pBdr>
      <w:tabs>
        <w:tab w:val="clear" w:pos="4153"/>
      </w:tabs>
      <w:ind w:firstLine="501" w:firstLineChars="0"/>
      <w:jc w:val="left"/>
      <w:rPr>
        <w:rFonts w:ascii="仿宋" w:hAnsi="仿宋" w:eastAsia="仿宋"/>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2C0192"/>
    <w:multiLevelType w:val="singleLevel"/>
    <w:tmpl w:val="F12C0192"/>
    <w:lvl w:ilvl="0" w:tentative="0">
      <w:start w:val="2"/>
      <w:numFmt w:val="chineseCounting"/>
      <w:suff w:val="space"/>
      <w:lvlText w:val="第%1条"/>
      <w:lvlJc w:val="left"/>
      <w:rPr>
        <w:rFonts w:hint="eastAsia"/>
      </w:rPr>
    </w:lvl>
  </w:abstractNum>
  <w:abstractNum w:abstractNumId="1">
    <w:nsid w:val="0053208E"/>
    <w:multiLevelType w:val="singleLevel"/>
    <w:tmpl w:val="0053208E"/>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1OWZmN2YwYjlkNTNiNTA5NjRhNGNmYzlmZmM3MzcifQ=="/>
  </w:docVars>
  <w:rsids>
    <w:rsidRoot w:val="00000000"/>
    <w:rsid w:val="06233776"/>
    <w:rsid w:val="0DD9136D"/>
    <w:rsid w:val="0EC137E9"/>
    <w:rsid w:val="114E7A8B"/>
    <w:rsid w:val="20DD2887"/>
    <w:rsid w:val="51234079"/>
    <w:rsid w:val="55B22754"/>
    <w:rsid w:val="570D6CD1"/>
    <w:rsid w:val="57F15A58"/>
    <w:rsid w:val="5CD94615"/>
    <w:rsid w:val="6A4F1A31"/>
    <w:rsid w:val="6EA46635"/>
    <w:rsid w:val="7CF16C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autoRedefine/>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widowControl w:val="0"/>
      <w:jc w:val="left"/>
    </w:pPr>
    <w:rPr>
      <w:rFonts w:ascii="Copperplate Gothic Bold" w:hAnsi="Copperplate Gothic Bold" w:eastAsia="宋体" w:cs="Times New Roman"/>
      <w:kern w:val="2"/>
      <w:sz w:val="28"/>
      <w:szCs w:val="24"/>
      <w:lang w:val="en-US" w:eastAsia="zh-CN" w:bidi="ar-SA"/>
    </w:rPr>
  </w:style>
  <w:style w:type="paragraph" w:styleId="5">
    <w:name w:val="Plain Text"/>
    <w:basedOn w:val="1"/>
    <w:autoRedefine/>
    <w:qFormat/>
    <w:uiPriority w:val="99"/>
    <w:pPr>
      <w:spacing w:line="324" w:lineRule="auto"/>
    </w:pPr>
    <w:rPr>
      <w:rFonts w:ascii="宋体" w:hAnsi="Courier New"/>
    </w:rPr>
  </w:style>
  <w:style w:type="paragraph" w:styleId="6">
    <w:name w:val="footer"/>
    <w:basedOn w:val="1"/>
    <w:qFormat/>
    <w:uiPriority w:val="99"/>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autoRedefine/>
    <w:qFormat/>
    <w:uiPriority w:val="0"/>
    <w:rPr>
      <w:b/>
    </w:rPr>
  </w:style>
  <w:style w:type="character" w:styleId="12">
    <w:name w:val="Hyperlink"/>
    <w:basedOn w:val="10"/>
    <w:autoRedefine/>
    <w:qFormat/>
    <w:uiPriority w:val="0"/>
    <w:rPr>
      <w:color w:val="0000FF"/>
      <w:u w:val="single"/>
    </w:rPr>
  </w:style>
  <w:style w:type="paragraph" w:customStyle="1" w:styleId="13">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2333</Words>
  <Characters>2343</Characters>
  <Lines>0</Lines>
  <Paragraphs>0</Paragraphs>
  <TotalTime>0</TotalTime>
  <ScaleCrop>false</ScaleCrop>
  <LinksUpToDate>false</LinksUpToDate>
  <CharactersWithSpaces>2406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2024-03-04T02:33:00Z</dcterms:created>
  <dc:creator>Administrator</dc:creator>
  <cp:lastModifiedBy>十九</cp:lastModifiedBy>
  <dcterms:modified xsi:type="dcterms:W3CDTF">2025-07-10T09:37:45Z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566D5F4E939741978D36E7B42160864C_13</vt:lpwstr>
  </property>
  <property fmtid="{D5CDD505-2E9C-101B-9397-08002B2CF9AE}" pid="4" name="KSOTemplateDocerSaveRecord">
    <vt:lpwstr>eyJoZGlkIjoiODIxODExYjhhOTg0ODQwMTcxZGZlMzIxYWNhZjhlZGMiLCJ1c2VySWQiOiI0MjAwODYzNjMifQ==</vt:lpwstr>
  </property>
</Properties>
</file>