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版本号：慧科ZX-CF01182BF20250708001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2025年西安市福利彩票发行中心《福从天降》栏目制作、播出项目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慧科ZX-CF01182BF</w:t>
      </w:r>
      <w:r>
        <w:br/>
      </w:r>
      <w:r>
        <w:br/>
      </w:r>
      <w:r>
        <w:br/>
      </w:r>
    </w:p>
    <w:p>
      <w:pPr>
        <w:pStyle w:val="null3"/>
        <w:jc w:val="center"/>
        <w:outlineLvl w:val="2"/>
      </w:pPr>
      <w:r>
        <w:rPr>
          <w:rFonts w:ascii="仿宋_GB2312" w:hAnsi="仿宋_GB2312" w:cs="仿宋_GB2312" w:eastAsia="仿宋_GB2312"/>
          <w:sz w:val="28"/>
          <w:b/>
        </w:rPr>
        <w:t>西安市福利彩票发行中心（本级）</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西安市福利彩票发行中心（本级）</w:t>
      </w:r>
      <w:r>
        <w:rPr>
          <w:rFonts w:ascii="仿宋_GB2312" w:hAnsi="仿宋_GB2312" w:cs="仿宋_GB2312" w:eastAsia="仿宋_GB2312"/>
        </w:rPr>
        <w:t>委托，拟对</w:t>
      </w:r>
      <w:r>
        <w:rPr>
          <w:rFonts w:ascii="仿宋_GB2312" w:hAnsi="仿宋_GB2312" w:cs="仿宋_GB2312" w:eastAsia="仿宋_GB2312"/>
        </w:rPr>
        <w:t>2025年西安市福利彩票发行中心《福从天降》栏目制作、播出项目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慧科ZX-CF01182BF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2025年西安市福利彩票发行中心《福从天降》栏目制作、播出项目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推动西安福彩事业发展，树立福彩品牌形象，我中心多年来在西安电视台商务资讯频道（西安三套）推出《福从天降》栏目，及时报道福彩最新动态，为彩民获取福彩资讯提供了便利，在彩民群体中已形成收视习惯。现采购具有综合实力、栏目制作、价格和服务优选的广告供应商，负责承担《福从天降》栏目包装、节目制作、播出等相关费用和服务及义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采购包1（2025年西安市福利彩票发行中心《福从天降》栏目制作、播出项目）：属于专门面向小微企业采购。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1、特定资格条件：未被列为“信用中国”网（www.creditchina.gov.cn）中失信被执行人和重大税收违法失信主体名单及中国政府采购网（www.ccgp.gov.cn）政府采购严重违法失信行为记录名单。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西安市福利彩票发行中心（本级）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西安市未央区北二环369号华帝金座A座9A</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029-86276319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陕西省西安市高新区锦业一路西安研祥城市广场C座3楼C-306号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李小刚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029-89284578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成交供应商按国家计委颁发的《采购代理服务收费管理暂行办法》（计价格[2002]1980号）和国家发展和改革委员会办公厅颁发的《关于采购代理服务收费有关问题的通知》（发改办价格[2003] 857号）的标准向采购代理机构一次付清采购代理服务费。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西安市福利彩票发行中心（本级）</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西安市福利彩票发行中心（本级）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西安市福利彩票发行中心（本级）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联系人：李小刚</w:t>
      </w:r>
    </w:p>
    <w:p>
      <w:pPr>
        <w:pStyle w:val="null3"/>
      </w:pPr>
      <w:r>
        <w:rPr>
          <w:rFonts w:ascii="仿宋_GB2312" w:hAnsi="仿宋_GB2312" w:cs="仿宋_GB2312" w:eastAsia="仿宋_GB2312"/>
        </w:rPr>
        <w:t>联系电话：029-89284578</w:t>
      </w:r>
    </w:p>
    <w:p>
      <w:pPr>
        <w:pStyle w:val="null3"/>
      </w:pPr>
      <w:r>
        <w:rPr>
          <w:rFonts w:ascii="仿宋_GB2312" w:hAnsi="仿宋_GB2312" w:cs="仿宋_GB2312" w:eastAsia="仿宋_GB2312"/>
        </w:rPr>
        <w:t>地址：陕西省西安市高新区锦业一路西安研祥城市广场C座3楼C-306号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推动西安福彩事业发展，树立福彩品牌形象，我中心多年来在西安电视台商务资讯频道（西安三套）推出《福从天降》栏目，及时报道福彩最新动态，为彩民获取福彩资讯提供了便利，在彩民群体中已形成收视习惯。现采购具有综合实力、栏目制作、价格和服务优选的广告供应商，负责承担《福从天降》栏目包装、节目制作、播出等相关费用和服务及义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560"/>
            </w:pPr>
            <w:r>
              <w:rPr>
                <w:rFonts w:ascii="仿宋_GB2312" w:hAnsi="仿宋_GB2312" w:cs="仿宋_GB2312" w:eastAsia="仿宋_GB2312"/>
                <w:sz w:val="28"/>
              </w:rPr>
              <w:t>技术服务要求：</w:t>
            </w:r>
            <w:r>
              <w:rPr>
                <w:rFonts w:ascii="仿宋_GB2312" w:hAnsi="仿宋_GB2312" w:cs="仿宋_GB2312" w:eastAsia="仿宋_GB2312"/>
                <w:sz w:val="28"/>
              </w:rPr>
              <w:t>1、必须成立专门的专栏组。</w:t>
            </w:r>
            <w:r>
              <w:rPr>
                <w:rFonts w:ascii="仿宋_GB2312" w:hAnsi="仿宋_GB2312" w:cs="仿宋_GB2312" w:eastAsia="仿宋_GB2312"/>
                <w:sz w:val="28"/>
              </w:rPr>
              <w:t>2、必须设立专门的演播室。</w:t>
            </w:r>
            <w:r>
              <w:rPr>
                <w:rFonts w:ascii="仿宋_GB2312" w:hAnsi="仿宋_GB2312" w:cs="仿宋_GB2312" w:eastAsia="仿宋_GB2312"/>
                <w:sz w:val="28"/>
              </w:rPr>
              <w:t>3、必须有专门的主持人、编导、摄像、后期制作人员。</w:t>
            </w:r>
            <w:r>
              <w:rPr>
                <w:rFonts w:ascii="仿宋_GB2312" w:hAnsi="仿宋_GB2312" w:cs="仿宋_GB2312" w:eastAsia="仿宋_GB2312"/>
                <w:sz w:val="28"/>
              </w:rPr>
              <w:t>4、</w:t>
            </w:r>
            <w:r>
              <w:rPr>
                <w:rFonts w:ascii="仿宋_GB2312" w:hAnsi="仿宋_GB2312" w:cs="仿宋_GB2312" w:eastAsia="仿宋_GB2312"/>
                <w:sz w:val="28"/>
              </w:rPr>
              <w:t>节目</w:t>
            </w:r>
            <w:r>
              <w:rPr>
                <w:rFonts w:ascii="仿宋_GB2312" w:hAnsi="仿宋_GB2312" w:cs="仿宋_GB2312" w:eastAsia="仿宋_GB2312"/>
                <w:sz w:val="28"/>
              </w:rPr>
              <w:t>内容必须包含福利彩票</w:t>
            </w:r>
            <w:r>
              <w:rPr>
                <w:rFonts w:ascii="仿宋_GB2312" w:hAnsi="仿宋_GB2312" w:cs="仿宋_GB2312" w:eastAsia="仿宋_GB2312"/>
                <w:sz w:val="28"/>
              </w:rPr>
              <w:t>相关资讯、</w:t>
            </w:r>
            <w:r>
              <w:rPr>
                <w:rFonts w:ascii="仿宋_GB2312" w:hAnsi="仿宋_GB2312" w:cs="仿宋_GB2312" w:eastAsia="仿宋_GB2312"/>
                <w:sz w:val="28"/>
              </w:rPr>
              <w:t>公益广告、公益活动、专家荐号、专家分析及期间所中的大奖等信息内容。</w:t>
            </w:r>
            <w:r>
              <w:rPr>
                <w:rFonts w:ascii="仿宋_GB2312" w:hAnsi="仿宋_GB2312" w:cs="仿宋_GB2312" w:eastAsia="仿宋_GB2312"/>
                <w:sz w:val="28"/>
              </w:rPr>
              <w:t>5、必须保证按时参加市福彩中心组织的公益活动。</w:t>
            </w:r>
            <w:r>
              <w:rPr>
                <w:rFonts w:ascii="仿宋_GB2312" w:hAnsi="仿宋_GB2312" w:cs="仿宋_GB2312" w:eastAsia="仿宋_GB2312"/>
                <w:sz w:val="28"/>
              </w:rPr>
              <w:t>6、必须准确、及时的公布当天开奖号码。</w:t>
            </w:r>
            <w:r>
              <w:rPr>
                <w:rFonts w:ascii="仿宋_GB2312" w:hAnsi="仿宋_GB2312" w:cs="仿宋_GB2312" w:eastAsia="仿宋_GB2312"/>
                <w:sz w:val="28"/>
              </w:rPr>
              <w:t>7、栏目里不能播出福彩以外的内容。</w:t>
            </w:r>
            <w:r>
              <w:rPr>
                <w:rFonts w:ascii="仿宋_GB2312" w:hAnsi="仿宋_GB2312" w:cs="仿宋_GB2312" w:eastAsia="仿宋_GB2312"/>
                <w:sz w:val="28"/>
              </w:rPr>
              <w:t>8、必须为十分钟的日播专栏，在商务</w:t>
            </w:r>
            <w:r>
              <w:rPr>
                <w:rFonts w:ascii="仿宋_GB2312" w:hAnsi="仿宋_GB2312" w:cs="仿宋_GB2312" w:eastAsia="仿宋_GB2312"/>
                <w:sz w:val="28"/>
              </w:rPr>
              <w:t>资讯</w:t>
            </w:r>
            <w:r>
              <w:rPr>
                <w:rFonts w:ascii="仿宋_GB2312" w:hAnsi="仿宋_GB2312" w:cs="仿宋_GB2312" w:eastAsia="仿宋_GB2312"/>
                <w:sz w:val="28"/>
              </w:rPr>
              <w:t>频道每晚</w:t>
            </w:r>
            <w:r>
              <w:rPr>
                <w:rFonts w:ascii="仿宋_GB2312" w:hAnsi="仿宋_GB2312" w:cs="仿宋_GB2312" w:eastAsia="仿宋_GB2312"/>
                <w:sz w:val="28"/>
              </w:rPr>
              <w:t>22：</w:t>
            </w:r>
            <w:r>
              <w:rPr>
                <w:rFonts w:ascii="仿宋_GB2312" w:hAnsi="仿宋_GB2312" w:cs="仿宋_GB2312" w:eastAsia="仿宋_GB2312"/>
                <w:sz w:val="28"/>
              </w:rPr>
              <w:t>30</w:t>
            </w:r>
            <w:r>
              <w:rPr>
                <w:rFonts w:ascii="仿宋_GB2312" w:hAnsi="仿宋_GB2312" w:cs="仿宋_GB2312" w:eastAsia="仿宋_GB2312"/>
                <w:sz w:val="28"/>
              </w:rPr>
              <w:t>分左右首播，次日早</w:t>
            </w:r>
            <w:r>
              <w:rPr>
                <w:rFonts w:ascii="仿宋_GB2312" w:hAnsi="仿宋_GB2312" w:cs="仿宋_GB2312" w:eastAsia="仿宋_GB2312"/>
                <w:sz w:val="28"/>
              </w:rPr>
              <w:t>7:00左右重播。</w:t>
            </w:r>
            <w:r>
              <w:rPr>
                <w:rFonts w:ascii="仿宋_GB2312" w:hAnsi="仿宋_GB2312" w:cs="仿宋_GB2312" w:eastAsia="仿宋_GB2312"/>
                <w:sz w:val="28"/>
              </w:rPr>
              <w:t>9、如需要变动栏目播出时间，必须提前向市福彩中心告知。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必须有专门的主持人、编导、摄像、后期制作人员。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必须设立专门的演播室。</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必须成立专门的专栏组。</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2025年8月1日至2026年7月31日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西安电视台商务资讯频道（西安三套）</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甲乙双方共同完成验收，乙方出具验收报告并填写验收单。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合同签订之日</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广告发布之日</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验收合格之日</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1、任何一方不履行本合同约定的义务或履行义务不符合本合同约定的，视为违约，应停止违约行为，并承担继续履行、采取补救措施或赔偿损失等违约责任。 2、任何一方在履行本合同过程中由于自身原因给对方和/或第三方造成损失的，应负责处理并承担赔偿责任。 3、甲方经巡查发现广告发布未如数完成或发现破损的，应当立即通知乙方，经乙方到场确认后，双方同意按以下方式处理： （1）如因乙方不可控因素等特殊原因，致使甲方广告发布没能如期完成，乙方根据误差时间进行延期的补偿发布。 （2）如发生破损，乙方保证24小时之内修复，如24小时不能修复，乙方保证发生破损位置延期发布一周。如发生漏发，乙方保证漏发位置顺延发布一周。 （3）因乙方原因导致广告无法发布的，乙方除依据本协议其他约定补偿发布外，还需承担违约金。 4、本合同所称“损失”包括实际损失、合同履行后可以获得的利益和诉讼费、仲裁费、律师费等有关法律费用。</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1.成交供应商在领取成交通知书时提供响应文件纸质版一正一副（电子版U盘一份）。 2.成交供应商应在成交通知书发出之日起25日内与采购人签订采购合同。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1、供应商应具有独立承担民事责任的能力的企业法人、事业法人、其他组织或自然人，出具合法有效的营业执照或事业单位法人证书等国家规定的相关证明，自然人参与的提供其身份证明； 2、财务状况报告：提供经审计的2024年度的财务报告或提交响应文件截止时间前六个月内其基本账户开户银行出具的资信证明及基本存款账户信息；其他组织和自然人提供银行出具的资信证明或财务报表； 3、税收缴纳证明：提供供应商2024年7月份至今已缴纳任意一个月完税凭证或税务机关开具的完税证明（任意税种）；依法免税的应提供相关文件证明； 4、社会保障资金缴纳证明：提供供应商2024年7月份至今已缴纳任意一个月的社会保障完税证明或社保机构开具的社会保险参保缴费情况证明；依法不需要缴纳社会保障资金的应提供相关文件证明； 5、具有履行合同所必需的设备和专业技术能力的承诺函；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参考格式-终.docx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参考格式-终.docx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参考格式-终.docx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未被列为“信用中国”网（www.creditchina.gov.cn）中失信被执行人和重大税收违法失信主体名单及中国政府采购网（www.ccgp.gov.cn）政府采购严重违法失信行为记录名单。</w:t>
            </w:r>
          </w:p>
        </w:tc>
        <w:tc>
          <w:tcPr>
            <w:tcW w:type="dxa" w:w="1661"/>
          </w:tcPr>
          <w:p>
            <w:pPr>
              <w:pStyle w:val="null3"/>
            </w:pPr>
            <w:r>
              <w:rPr>
                <w:rFonts w:ascii="仿宋_GB2312" w:hAnsi="仿宋_GB2312" w:cs="仿宋_GB2312" w:eastAsia="仿宋_GB2312"/>
              </w:rPr>
              <w:t>响应函 参考格式-终.docx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响应文件的签署、盖章符合采购文件要求，且无遗漏。</w:t>
            </w:r>
          </w:p>
        </w:tc>
        <w:tc>
          <w:tcPr>
            <w:tcW w:type="dxa" w:w="1661"/>
          </w:tcPr>
          <w:p>
            <w:pPr>
              <w:pStyle w:val="null3"/>
            </w:pPr>
            <w:r>
              <w:rPr>
                <w:rFonts w:ascii="仿宋_GB2312" w:hAnsi="仿宋_GB2312" w:cs="仿宋_GB2312" w:eastAsia="仿宋_GB2312"/>
              </w:rPr>
              <w:t>响应文件封面 报价表 响应函 参考格式-终.docx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符合采购文件要求、合法有效。</w:t>
            </w:r>
          </w:p>
        </w:tc>
        <w:tc>
          <w:tcPr>
            <w:tcW w:type="dxa" w:w="1661"/>
          </w:tcPr>
          <w:p>
            <w:pPr>
              <w:pStyle w:val="null3"/>
            </w:pPr>
            <w:r>
              <w:rPr>
                <w:rFonts w:ascii="仿宋_GB2312" w:hAnsi="仿宋_GB2312" w:cs="仿宋_GB2312" w:eastAsia="仿宋_GB2312"/>
              </w:rPr>
              <w:t>响应文件封面 参考格式-终.docx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投标价格</w:t>
            </w:r>
          </w:p>
        </w:tc>
        <w:tc>
          <w:tcPr>
            <w:tcW w:type="dxa" w:w="3322"/>
          </w:tcPr>
          <w:p>
            <w:pPr>
              <w:pStyle w:val="null3"/>
            </w:pPr>
            <w:r>
              <w:rPr>
                <w:rFonts w:ascii="仿宋_GB2312" w:hAnsi="仿宋_GB2312" w:cs="仿宋_GB2312" w:eastAsia="仿宋_GB2312"/>
              </w:rPr>
              <w:t>同时满足以下条款：（1）报价符合唯一性要求；（2）报价货币符合采购文件要求；（3）未超出采购文件规定的单价最高限价。</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响应文件封面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供应商根据磋商文件内容及要求做出具体响应内容、列出具体服务方案， 服务方案内容包括但不限于项目策划及实施、工作流程、关键环节把握、工作重点等方案内容。 服务方案完整、合理、可行性强、完全满足项目需求，赋15分； 服务方案基本完整、合理、有一定的可行性、能满足项目基本要求，赋12分； 服务方案不够完整、合理、可行性一般，但基本能满足项目需求，赋9分； 有服务方案，但不完整，有缺项，可行性一般，较难满足项目需求，赋6分； 服务方案不完整，内容有缺项，可行性较差，不能满足项目需求，赋3分； 未提供或服务方案完全脱离项目实际的不得分。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参考格式-终.docx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提供拟投入本项目的人员配备方案，内容包括不限于①组织架构、②人员执业资格、从业经验、③人员保障措施、④人员岗位职责等。 人员配备方案完整、合理、可行性强、完全满足项目需求，赋12分； 人员配备方案基本完整、合理、有一定的可行性、能满足项目基本需求，赋9分； 人员配备基本合理，方案不够完整、合理、可行性一般，但基本能满足项目需求，赋6分； 人员配备不合理，方案不完整，内容有缺项，可行性较差，不能满足项目需求，赋3分； 未提供或方案脱离项目实际的不得分。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参考格式-终.docx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供应商提供针对本项目的质量保障措施。 措施完整、合理、可行性强、完全满足项目需求，赋13分； 措施基本完整、合理、有一定的可行性、能满足项目基本需求，赋10分； 措施不够完整、合理、可行性一般，但基本能满足项目需求，赋7分； 措施单一，内容有缺项，可行性较差，不能满足项目需求，赋4分； 未提供或措施脱离项目实际的不得分。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参考格式-终.docx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提供供应商2022年1月至今的类似项目业绩（以合同签订日期为准），每提供1个得2分，此项满分10分。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参考格式-终.docx</w:t>
            </w:r>
          </w:p>
        </w:tc>
      </w:tr>
      <w:tr>
        <w:tc>
          <w:tcPr>
            <w:tcW w:type="dxa" w:w="831"/>
            <w:vMerge/>
          </w:tcPr>
          <w:p/>
        </w:tc>
        <w:tc>
          <w:tcPr>
            <w:tcW w:type="dxa" w:w="1661"/>
          </w:tcPr>
          <w:p>
            <w:pPr>
              <w:pStyle w:val="null3"/>
            </w:pPr>
            <w:r>
              <w:rPr>
                <w:rFonts w:ascii="仿宋_GB2312" w:hAnsi="仿宋_GB2312" w:cs="仿宋_GB2312" w:eastAsia="仿宋_GB2312"/>
              </w:rPr>
              <w:t>应急保障措施及处置方案</w:t>
            </w:r>
          </w:p>
        </w:tc>
        <w:tc>
          <w:tcPr>
            <w:tcW w:type="dxa" w:w="2492"/>
          </w:tcPr>
          <w:p>
            <w:pPr>
              <w:pStyle w:val="null3"/>
            </w:pPr>
            <w:r>
              <w:rPr>
                <w:rFonts w:ascii="仿宋_GB2312" w:hAnsi="仿宋_GB2312" w:cs="仿宋_GB2312" w:eastAsia="仿宋_GB2312"/>
              </w:rPr>
              <w:t>具由不可抗力因素、特殊情况、突发情况等原因的应急保障措施及处置方案。 方案科学合理、可行性高、响应时效性强，完全满足采购需求，赋10分； 方案基本合理、可行性一般、响应时效性一般，基本满足采购需求，赋7分； 方案及可行性较差、响应时效性较差，部分满足或不能满足项目需求，赋4分。 未提供或方案不符合项目实际需求的，该项不得分。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参考格式-终.docx</w:t>
            </w:r>
          </w:p>
        </w:tc>
      </w:tr>
      <w:tr>
        <w:tc>
          <w:tcPr>
            <w:tcW w:type="dxa" w:w="831"/>
            <w:vMerge/>
          </w:tcPr>
          <w:p/>
        </w:tc>
        <w:tc>
          <w:tcPr>
            <w:tcW w:type="dxa" w:w="1661"/>
          </w:tcPr>
          <w:p>
            <w:pPr>
              <w:pStyle w:val="null3"/>
            </w:pPr>
            <w:r>
              <w:rPr>
                <w:rFonts w:ascii="仿宋_GB2312" w:hAnsi="仿宋_GB2312" w:cs="仿宋_GB2312" w:eastAsia="仿宋_GB2312"/>
              </w:rPr>
              <w:t>针对本项目的重点、难点分析</w:t>
            </w:r>
          </w:p>
        </w:tc>
        <w:tc>
          <w:tcPr>
            <w:tcW w:type="dxa" w:w="2492"/>
          </w:tcPr>
          <w:p>
            <w:pPr>
              <w:pStyle w:val="null3"/>
            </w:pPr>
            <w:r>
              <w:rPr>
                <w:rFonts w:ascii="仿宋_GB2312" w:hAnsi="仿宋_GB2312" w:cs="仿宋_GB2312" w:eastAsia="仿宋_GB2312"/>
              </w:rPr>
              <w:t>针对本次项目的重点、难点分析。 重点、难点分析清晰合理，重点把控准确，难点解决思路明确，解决计划可行性强，赋10分； 重点、难点分析清晰，重点明确，难点解决思路一般，解决计划有可行性，赋7分； 重点、难点分析清晰模糊，重点把控一般，难点解决思路模糊，解决计划可行性较差，赋4分。 未提供或分析不符合项目实际需求的，该项不得分。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参考格式-终.docx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供应商针对本项目需求，能够提供的服务响应。 方案完善、合理、可实施性强，赋6分； 方案承诺简单，内容空泛，赋3分； 未提供或方案完全脱离项目实际的不得分。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参考格式-终.docx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针对本项目实施提出有利于项目实施的合理化建议。 建议完善、合理、可实施性强，赋4分； 建议简单，内容空泛，赋1分； 未提供或建议完全脱离项目实际的不得分。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参考格式-终.docx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详见附件：参考格式-终.docx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详见附件：拟签订采购合同文本-《福从天降》项目.docx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