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版本号：慧科ZX-CF01183BF20250708001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2025年西安市福利彩票发行中心公交车尾窗LED屏广告项目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慧科ZX-CF01183BF</w:t>
      </w:r>
      <w:r>
        <w:br/>
      </w:r>
      <w:r>
        <w:br/>
      </w:r>
      <w:r>
        <w:br/>
      </w:r>
    </w:p>
    <w:p>
      <w:pPr>
        <w:pStyle w:val="null3"/>
        <w:jc w:val="center"/>
        <w:outlineLvl w:val="2"/>
      </w:pPr>
      <w:r>
        <w:rPr>
          <w:rFonts w:ascii="仿宋_GB2312" w:hAnsi="仿宋_GB2312" w:cs="仿宋_GB2312" w:eastAsia="仿宋_GB2312"/>
          <w:sz w:val="28"/>
          <w:b/>
        </w:rPr>
        <w:t>西安市福利彩票发行中心（本级）</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西安市福利彩票发行中心（本级）</w:t>
      </w:r>
      <w:r>
        <w:rPr>
          <w:rFonts w:ascii="仿宋_GB2312" w:hAnsi="仿宋_GB2312" w:cs="仿宋_GB2312" w:eastAsia="仿宋_GB2312"/>
        </w:rPr>
        <w:t>委托，拟对</w:t>
      </w:r>
      <w:r>
        <w:rPr>
          <w:rFonts w:ascii="仿宋_GB2312" w:hAnsi="仿宋_GB2312" w:cs="仿宋_GB2312" w:eastAsia="仿宋_GB2312"/>
        </w:rPr>
        <w:t>2025年西安市福利彩票发行中心公交车尾窗LED屏广告项目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慧科ZX-CF01183BF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2025年西安市福利彩票发行中心公交车尾窗LED屏广告项目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扩大福利彩票的影响力，西安福彩将借助西安市公交车尾LED屏媒体在全市进行全方位的广告宣传投放覆盖，充分利用公交车尾LED屏媒体的受众密集、覆盖面广、高频次呈现等优势，通过文字、图片、视频广告等形式，全面的进行福利彩票的形象宣传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采购包1（2025年西安市福利彩票发行中心公交车尾窗LED屏广告项目）：属于专门面向小微企业采购。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1、特定资格条件：未被列为“信用中国”网（www.creditchina.gov.cn）中失信被执行人和重大税收违法失信主体名单及中国政府采购网（www.ccgp.gov.cn）政府采购严重违法失信行为记录名单。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西安市福利彩票发行中心（本级）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西安市未央区北二环369号华帝金座A座9A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029-86276319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陕西省西安市高新区锦业一路西安研祥城市广场C座3楼C-306号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李小刚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029-89284578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成交供应商按国家计委颁发的《采购代理服务收费管理暂行办法》（计价格[2002]1980号）和国家发展和改革委员会办公厅颁发的《关于采购代理服务收费有关问题的通知》（发改办价格[2003] 857号）的标准向采购代理机构一次付清采购代理服务费。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西安市福利彩票发行中心（本级）</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西安市福利彩票发行中心（本级）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西安市福利彩票发行中心（本级）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联系人：李小刚</w:t>
      </w:r>
    </w:p>
    <w:p>
      <w:pPr>
        <w:pStyle w:val="null3"/>
      </w:pPr>
      <w:r>
        <w:rPr>
          <w:rFonts w:ascii="仿宋_GB2312" w:hAnsi="仿宋_GB2312" w:cs="仿宋_GB2312" w:eastAsia="仿宋_GB2312"/>
        </w:rPr>
        <w:t>联系电话：029-89284578</w:t>
      </w:r>
    </w:p>
    <w:p>
      <w:pPr>
        <w:pStyle w:val="null3"/>
      </w:pPr>
      <w:r>
        <w:rPr>
          <w:rFonts w:ascii="仿宋_GB2312" w:hAnsi="仿宋_GB2312" w:cs="仿宋_GB2312" w:eastAsia="仿宋_GB2312"/>
        </w:rPr>
        <w:t>地址：陕西省西安市高新区锦业一路西安研祥城市广场C座3楼C-306号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扩大福利彩票的影响力，西安福彩将借助西安市公交车尾LED屏媒体在全市进行全方位的广告宣传投放覆盖，充分利用公交车尾LED屏媒体的受众密集、覆盖面广、高频次呈现等优势，通过文字、图片、视频广告等形式，全面的进行福利彩票的形象宣传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32"/>
              </w:rPr>
              <w:t>服务要求：1.</w:t>
            </w:r>
            <w:r>
              <w:rPr>
                <w:rFonts w:ascii="仿宋_GB2312" w:hAnsi="仿宋_GB2312" w:cs="仿宋_GB2312" w:eastAsia="仿宋_GB2312"/>
                <w:sz w:val="32"/>
              </w:rPr>
              <w:t>投放数量:1500辆2.</w:t>
            </w:r>
            <w:r>
              <w:rPr>
                <w:rFonts w:ascii="仿宋_GB2312" w:hAnsi="仿宋_GB2312" w:cs="仿宋_GB2312" w:eastAsia="仿宋_GB2312"/>
                <w:sz w:val="32"/>
              </w:rPr>
              <w:t>播放时长:10s/次3.</w:t>
            </w:r>
            <w:r>
              <w:rPr>
                <w:rFonts w:ascii="仿宋_GB2312" w:hAnsi="仿宋_GB2312" w:cs="仿宋_GB2312" w:eastAsia="仿宋_GB2312"/>
                <w:sz w:val="32"/>
              </w:rPr>
              <w:t>播放频次:300次/辆/天;4.</w:t>
            </w:r>
            <w:r>
              <w:rPr>
                <w:rFonts w:ascii="仿宋_GB2312" w:hAnsi="仿宋_GB2312" w:cs="仿宋_GB2312" w:eastAsia="仿宋_GB2312"/>
                <w:sz w:val="32"/>
              </w:rPr>
              <w:t>供应商根据甲方要求在合作期内完成媒体的发布时间要求、投放规格及投放量等;5.</w:t>
            </w:r>
            <w:r>
              <w:rPr>
                <w:rFonts w:ascii="仿宋_GB2312" w:hAnsi="仿宋_GB2312" w:cs="仿宋_GB2312" w:eastAsia="仿宋_GB2312"/>
                <w:sz w:val="32"/>
              </w:rPr>
              <w:t>甲方可分批次播放，累计播放发布时间为</w:t>
            </w:r>
            <w:r>
              <w:rPr>
                <w:rFonts w:ascii="仿宋_GB2312" w:hAnsi="仿宋_GB2312" w:cs="仿宋_GB2312" w:eastAsia="仿宋_GB2312"/>
                <w:sz w:val="32"/>
              </w:rPr>
              <w:t>80</w:t>
            </w:r>
            <w:r>
              <w:rPr>
                <w:rFonts w:ascii="仿宋_GB2312" w:hAnsi="仿宋_GB2312" w:cs="仿宋_GB2312" w:eastAsia="仿宋_GB2312"/>
                <w:sz w:val="32"/>
              </w:rPr>
              <w:t>天。</w:t>
            </w:r>
          </w:p>
          <w:p>
            <w:pPr>
              <w:pStyle w:val="null3"/>
              <w:jc w:val="both"/>
            </w:pPr>
            <w:r>
              <w:rPr>
                <w:rFonts w:ascii="仿宋_GB2312" w:hAnsi="仿宋_GB2312" w:cs="仿宋_GB2312" w:eastAsia="仿宋_GB2312"/>
                <w:sz w:val="32"/>
              </w:rPr>
              <w:t>其他要求：1.</w:t>
            </w:r>
            <w:r>
              <w:rPr>
                <w:rFonts w:ascii="仿宋_GB2312" w:hAnsi="仿宋_GB2312" w:cs="仿宋_GB2312" w:eastAsia="仿宋_GB2312"/>
                <w:sz w:val="32"/>
              </w:rPr>
              <w:t>供应商应当按照采购服务需求执行，并提供相应媒体的自查验收报告确认;</w:t>
            </w:r>
            <w:r>
              <w:rPr>
                <w:rFonts w:ascii="仿宋_GB2312" w:hAnsi="仿宋_GB2312" w:cs="仿宋_GB2312" w:eastAsia="仿宋_GB2312"/>
                <w:sz w:val="32"/>
              </w:rPr>
              <w:t>2.如因特殊原因(不可抗力因素)致使广告发布没能如数完成，供应商应及时通知甲方进行广告延期或其他形式补偿。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2025年8月1日至2026年7月31日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西安市公交车尾窗</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甲乙双方共同完成验收，出具验收报告并填写验收单。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合同签订之日</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广告正常发布</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1、任何一方不履行本合同约定的义务或履行义务不符合本合同约定的，视为违约，应停止违约行为，并承担继续履行、采取补救措施或赔偿损失等违约责任。 2、任何一方在履行本合同过程中由于自身原因给对方和/或第三方造成损失的，应负责处理并承担赔偿责任。 3、甲方经巡查发现广告发布未如数完成或发现破损的，应当立即通知乙方，经乙方到场确认后，双方同意按以下方式处理： （1）如因乙方不可控因素等特殊原因，致使甲方广告发布没能如期完成，乙方根据误差时间进行延期的补偿发布。 （2）如发生破损，乙方保证24小时之内修复，如24小时不能修复，乙方保证发生破损位置延期发布一周。如发生漏发，乙方保证漏发位置顺延发布一周。 （3）因乙方原因导致广告无法发布的，乙方除依据本协议其他约定补偿发布外，还需承担违约金。 4、本合同所称“损失”包括实际损失、合同履行后可以获得的利益和诉讼费、仲裁费、律师费等有关法律费用。</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1.成交供应商在领取成交通知书时提供响应文件纸质版一正一副（电子版U盘一份）。 2.成交供应商应在成交通知书发出之日起25日内与采购人签订采购合同。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1、供应商应具有独立承担民事责任的能力的企业法人、事业法人、其他组织或自然人，出具合法有效的营业执照或事业单位法人证书等国家规定的相关证明，自然人参与的提供其身份证明； 2、财务状况报告：提供经审计的2024年度的财务报告或提交响应文件截止时间前六个月内其基本账户开户银行出具的资信证明及基本存款账户信息；其他组织和自然人提供银行出具的资信证明或财务报表； 3、税收缴纳证明：提供供应商2024年7月份至今已缴纳任意一个月完税凭证或税务机关开具的完税证明（任意税种）；依法免税的应提供相关文件证明； 4、社会保障资金缴纳证明：提供供应商2024年7月份至今已缴纳任意一个月的社会保障完税证明或社保机构开具的社会保险参保缴费情况证明；依法不需要缴纳社会保障资金的应提供相关文件证明； 5、具有履行合同所必需的设备和专业技术能力的承诺函；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参考格式-终.docx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参考格式-终.docx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未被列为“信用中国”网（www.creditchina.gov.cn）中失信被执行人和重大税收违法失信主体名单及中国政府采购网（www.ccgp.gov.cn）政府采购严重违法失信行为记录名单。</w:t>
            </w:r>
          </w:p>
        </w:tc>
        <w:tc>
          <w:tcPr>
            <w:tcW w:type="dxa" w:w="1661"/>
          </w:tcPr>
          <w:p>
            <w:pPr>
              <w:pStyle w:val="null3"/>
            </w:pPr>
            <w:r>
              <w:rPr>
                <w:rFonts w:ascii="仿宋_GB2312" w:hAnsi="仿宋_GB2312" w:cs="仿宋_GB2312" w:eastAsia="仿宋_GB2312"/>
              </w:rPr>
              <w:t>响应函 参考格式-终.docx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响应文件的签署、盖章符合采购文件要求，且无遗漏。</w:t>
            </w:r>
          </w:p>
        </w:tc>
        <w:tc>
          <w:tcPr>
            <w:tcW w:type="dxa" w:w="1661"/>
          </w:tcPr>
          <w:p>
            <w:pPr>
              <w:pStyle w:val="null3"/>
            </w:pPr>
            <w:r>
              <w:rPr>
                <w:rFonts w:ascii="仿宋_GB2312" w:hAnsi="仿宋_GB2312" w:cs="仿宋_GB2312" w:eastAsia="仿宋_GB2312"/>
              </w:rPr>
              <w:t>响应文件封面 报价表 响应函 参考格式-终.docx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符合采购文件要求、合法有效。</w:t>
            </w:r>
          </w:p>
        </w:tc>
        <w:tc>
          <w:tcPr>
            <w:tcW w:type="dxa" w:w="1661"/>
          </w:tcPr>
          <w:p>
            <w:pPr>
              <w:pStyle w:val="null3"/>
            </w:pPr>
            <w:r>
              <w:rPr>
                <w:rFonts w:ascii="仿宋_GB2312" w:hAnsi="仿宋_GB2312" w:cs="仿宋_GB2312" w:eastAsia="仿宋_GB2312"/>
              </w:rPr>
              <w:t>响应文件封面 参考格式-终.docx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投标价格</w:t>
            </w:r>
          </w:p>
        </w:tc>
        <w:tc>
          <w:tcPr>
            <w:tcW w:type="dxa" w:w="3322"/>
          </w:tcPr>
          <w:p>
            <w:pPr>
              <w:pStyle w:val="null3"/>
            </w:pPr>
            <w:r>
              <w:rPr>
                <w:rFonts w:ascii="仿宋_GB2312" w:hAnsi="仿宋_GB2312" w:cs="仿宋_GB2312" w:eastAsia="仿宋_GB2312"/>
              </w:rPr>
              <w:t>同时满足以下条款：（1）报价符合唯一性要求；（2）报价货币符合采购文件要求；（3）未超出采购文件规定的单价最高限价。</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响应文件封面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供应商根据磋商文件内容及要求做出具体响应内容、列出具体服务方案， 服务方案内容包括但不限于项目策划及实施、工作流程、关键环节把握、工作重点等方案内容。 服务方案完整、合理、可行性强、完全满足项目需求，赋15分； 服务方案基本完整、合理、有一定的可行性、能满足项目基本需求，赋12分； 服务方案不够完整、合理、可行性一般，但基本能满足项目需求，赋9分； 有服务方案，但不完整，有缺项，可行性一般，较难满足项目需求，赋6分； 服务方案不完整，内容有缺项，可行性较差，不能满足项目需求，赋3分； 未提供或服务方案完全脱离项目实际的不得分。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参考格式-终.docx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提供拟投入本项目的人员配备方案，内容包括不限于①组织架构、②人员执业资格、从业经验、③人员保障措施、④人员岗位职责等。 人员配备方案完整、合理、可行性强、完全满足项目需求，赋12分； 人员配备方案基本完整、合理、有一定的可行性、能满足项目基本需求，赋9分； 人员配备基本合理，方案不够完整、合理、可行性一般，但基本能满足项目需求，赋6分； 人员配备不合理，方案不完整，内容有缺项，可行性较差，不能满足项目需求，赋3分； 未提供或方案脱离项目实际的不得分。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参考格式-终.docx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供应商提供针对本项目的质量保障措施。 措施完整、合理、可行性强、完全满足项目需求，赋13分； 措施基本完整、合理、有一定的可行性、能满足项目基本需求，赋10分； 措施不够完整、合理、可行性一般，但基本能满足项目需求，赋7分； 措施单一，内容有缺项，可行性较差，不能满足项目需求，赋4分； 未提供或措施脱离项目实际的不得分。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参考格式-终.docx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提供供应商2022年1月至今的类似项目业绩（以合同签订日期为准），每提供1个得2分，此项满分10分。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参考格式-终.docx</w:t>
            </w:r>
          </w:p>
        </w:tc>
      </w:tr>
      <w:tr>
        <w:tc>
          <w:tcPr>
            <w:tcW w:type="dxa" w:w="831"/>
            <w:vMerge/>
          </w:tcPr>
          <w:p/>
        </w:tc>
        <w:tc>
          <w:tcPr>
            <w:tcW w:type="dxa" w:w="1661"/>
          </w:tcPr>
          <w:p>
            <w:pPr>
              <w:pStyle w:val="null3"/>
            </w:pPr>
            <w:r>
              <w:rPr>
                <w:rFonts w:ascii="仿宋_GB2312" w:hAnsi="仿宋_GB2312" w:cs="仿宋_GB2312" w:eastAsia="仿宋_GB2312"/>
              </w:rPr>
              <w:t>应急保障措施及处置方案</w:t>
            </w:r>
          </w:p>
        </w:tc>
        <w:tc>
          <w:tcPr>
            <w:tcW w:type="dxa" w:w="2492"/>
          </w:tcPr>
          <w:p>
            <w:pPr>
              <w:pStyle w:val="null3"/>
            </w:pPr>
            <w:r>
              <w:rPr>
                <w:rFonts w:ascii="仿宋_GB2312" w:hAnsi="仿宋_GB2312" w:cs="仿宋_GB2312" w:eastAsia="仿宋_GB2312"/>
              </w:rPr>
              <w:t>具由不可抗力因素、特殊情况、突发情况等原因的应急保障措施及处置方案。 方案科学合理、可行性高、响应时效性强，完全满足采购需求，赋10分； 方案基本合理、可行性一般、响应时效性一般，基本满足采购需求，赋7分； 方案及可行性较差、响应时效性较差，部分满足或不能满足项目需求，赋4分。 未提供或方案不符合项目实际需求的，该项不得分。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参考格式-终.docx</w:t>
            </w:r>
          </w:p>
        </w:tc>
      </w:tr>
      <w:tr>
        <w:tc>
          <w:tcPr>
            <w:tcW w:type="dxa" w:w="831"/>
            <w:vMerge/>
          </w:tcPr>
          <w:p/>
        </w:tc>
        <w:tc>
          <w:tcPr>
            <w:tcW w:type="dxa" w:w="1661"/>
          </w:tcPr>
          <w:p>
            <w:pPr>
              <w:pStyle w:val="null3"/>
            </w:pPr>
            <w:r>
              <w:rPr>
                <w:rFonts w:ascii="仿宋_GB2312" w:hAnsi="仿宋_GB2312" w:cs="仿宋_GB2312" w:eastAsia="仿宋_GB2312"/>
              </w:rPr>
              <w:t>针对本项目的重点、难点分析</w:t>
            </w:r>
          </w:p>
        </w:tc>
        <w:tc>
          <w:tcPr>
            <w:tcW w:type="dxa" w:w="2492"/>
          </w:tcPr>
          <w:p>
            <w:pPr>
              <w:pStyle w:val="null3"/>
            </w:pPr>
            <w:r>
              <w:rPr>
                <w:rFonts w:ascii="仿宋_GB2312" w:hAnsi="仿宋_GB2312" w:cs="仿宋_GB2312" w:eastAsia="仿宋_GB2312"/>
              </w:rPr>
              <w:t>针对本次项目的重点、难点分析。 重点、难点分析清晰合理，重点把控准确，难点解决思路明确，解决计划可行性强，赋10分； 重点、难点分析清晰，重点明确，难点解决思路一般，解决计划有可行性，赋7分； 重点、难点分析清晰模糊，重点把控一般，难点解决思路模糊，解决计划可行性较差，赋4分。 未提供或分析不符合项目实际需求的，该项不得分。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参考格式-终.docx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供应商针对本项目需求，能够提供的服务响应。 方案完善、合理、可实施性强，赋6分； 方案承诺简单，内容空泛，赋3分； 未提供或方案完全脱离项目实际的不得分。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参考格式-终.docx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针对本项目实施提出有利于项目实施的合理化建议。 建议完善、合理、可实施性强，赋4分； 建议简单，内容空泛，赋1分； 未提供或建议完全脱离项目实际的不得分。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参考格式-终.docx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详见附件：参考格式-终.docx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详见附件：拟签订采购合同文本-公交车项目.docx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