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版本号：SXHC2025-17020250710002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2025年通讯机房及信息安全第三方维保服务项目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SXHC2025-170</w:t>
      </w:r>
      <w:r>
        <w:br/>
      </w:r>
      <w:r>
        <w:br/>
      </w:r>
      <w:r>
        <w:br/>
      </w:r>
    </w:p>
    <w:p>
      <w:pPr>
        <w:pStyle w:val="null3"/>
        <w:jc w:val="center"/>
        <w:outlineLvl w:val="2"/>
      </w:pPr>
      <w:r>
        <w:rPr>
          <w:rFonts w:ascii="仿宋_GB2312" w:hAnsi="仿宋_GB2312" w:cs="仿宋_GB2312" w:eastAsia="仿宋_GB2312"/>
          <w:sz w:val="28"/>
          <w:b/>
        </w:rPr>
        <w:t>西安市交通信息中心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西安市交通信息中心</w:t>
      </w:r>
      <w:r>
        <w:rPr>
          <w:rFonts w:ascii="仿宋_GB2312" w:hAnsi="仿宋_GB2312" w:cs="仿宋_GB2312" w:eastAsia="仿宋_GB2312"/>
        </w:rPr>
        <w:t>委托，拟对</w:t>
      </w:r>
      <w:r>
        <w:rPr>
          <w:rFonts w:ascii="仿宋_GB2312" w:hAnsi="仿宋_GB2312" w:cs="仿宋_GB2312" w:eastAsia="仿宋_GB2312"/>
        </w:rPr>
        <w:t>2025年通讯机房及信息安全第三方维保服务项目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SXHC2025-170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2025年通讯机房及信息安全第三方维保服务项目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交通信息中心机房自2007年建成投入使用以来，设备保持7*24小时不间断运行，随着业务系统逐步迁移至政务云平台，中心机房保留了机房的通讯功能，需要聘请第三方专业团队对机房内的软硬件设备进行运行维护。保障中心业务系统以及日常办公的网络信息安全和数据安全，做好网络安全监测工作，确保西安市交通信息中心不发生网络安全事件。做好日常、节假日以及重要时间节点的机房通讯保障和网络安全保障。组织开展网络安全宣传周活动，开展机房应急演练、网络安全应急演练以及网络安全宣传培训。提供备品备件和驻场工程师，做好机房的管理工作以及临时性的机房运维工作和网络安全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采购包1（2025年通讯机房及信息安全第三方维保服务项目）：属于专门面向中小企业采购。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029-61177883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的收取，若按照标准收取不足6000元，按6000元计取。 代理服务费缴纳信息如下： 银行户名：陕西华采招标有限公司 开户行名 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西安市交通信息中心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交通信息中心机房自2007年建成投入使用以来，设备保持7*24小时不间断运行，随着业务系统逐步迁移至政务云平台，中心机房保留了机房的通讯功能，需要聘请第三方专业团队对机房内的软硬件设备进行运行维护。保障中心业务系统以及日常办公的网络信息安全和数据安全，做好网络安全监测工作，确保西安市交通信息中心不发生网络安全事件。做好日常、节假日以及重要时间节点的机房通讯保障和网络安全保障。组织开展网络安全宣传周活动，开展机房应急演练、网络安全应急演练以及网络安全宣传培训。提供备品备件和驻场工程师，做好机房的管理工作以及临时性的机房运维工作和网络安全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 xml:space="preserve">   西安市交通信息中心机房自2007年建成投入使用以来，设备保持7*24小时不间断运行，随着业务系统逐步迁移至政务云平台，中心机房保留了机房的通讯功能，需要聘请第三方专业团队对机房内的软硬件设备进行运行维护。保障中心业务系统以及日常办公的网络信息安全和数据安全，做好网络安全监测工作，确保西安市交通信息中心不发生网络安全事件。做好日常、节假日以及重要时间节点的机房通讯保障和网络安全保障。组织开展网络安全宣传周活动，开展机房应急演练、网络安全应急演练以及网络安全宣传培训。提供备品备件和驻场工程师，做好机房的管理工作以及临时性的机房运维工作和网络安全工作。</w:t>
            </w:r>
          </w:p>
          <w:p>
            <w:pPr>
              <w:pStyle w:val="null3"/>
            </w:pPr>
            <w:r>
              <w:rPr>
                <w:rFonts w:ascii="仿宋_GB2312" w:hAnsi="仿宋_GB2312" w:cs="仿宋_GB2312" w:eastAsia="仿宋_GB2312"/>
                <w:b/>
              </w:rPr>
              <w:t>二、服务内容</w:t>
            </w:r>
          </w:p>
          <w:p>
            <w:pPr>
              <w:pStyle w:val="null3"/>
              <w:ind w:firstLine="560"/>
            </w:pPr>
            <w:r>
              <w:rPr>
                <w:rFonts w:ascii="仿宋_GB2312" w:hAnsi="仿宋_GB2312" w:cs="仿宋_GB2312" w:eastAsia="仿宋_GB2312"/>
              </w:rPr>
              <w:t>机房24小时运行，服务商需对机房内网络设备、网络安全设备、动力环境设备、消防设备及服务器进行运行维护，同时配备至少一名驻场工程师、提供备品备件，以保障西安交通信息大厦通讯机房、凯瑞B座裙楼五楼信息中心办公网络正常运转及网络信息安全</w:t>
            </w:r>
          </w:p>
          <w:p>
            <w:pPr>
              <w:pStyle w:val="null3"/>
              <w:ind w:firstLine="560"/>
            </w:pPr>
            <w:r>
              <w:rPr>
                <w:rFonts w:ascii="仿宋_GB2312" w:hAnsi="仿宋_GB2312" w:cs="仿宋_GB2312" w:eastAsia="仿宋_GB2312"/>
              </w:rPr>
              <w:t>主要内容包括：</w:t>
            </w:r>
          </w:p>
          <w:p>
            <w:pPr>
              <w:pStyle w:val="null3"/>
              <w:ind w:firstLine="560"/>
            </w:pPr>
            <w:r>
              <w:rPr>
                <w:rFonts w:ascii="仿宋_GB2312" w:hAnsi="仿宋_GB2312" w:cs="仿宋_GB2312" w:eastAsia="仿宋_GB2312"/>
              </w:rPr>
              <w:t>1、每日对机房动力环境系统进行巡检，确保机房动力环境设备运行正常包括：精密空调、动环告警信息系统、UPS机头及配电柜、蓄电池、新风系统、漏水监测系统、门禁系统、监控系统、消防系统等并出具日报、月报和年报。每日对消防隐患进行排查，避免发生消防及安全生产事件。</w:t>
            </w:r>
          </w:p>
          <w:p>
            <w:pPr>
              <w:pStyle w:val="null3"/>
              <w:ind w:firstLine="560"/>
            </w:pPr>
            <w:r>
              <w:rPr>
                <w:rFonts w:ascii="仿宋_GB2312" w:hAnsi="仿宋_GB2312" w:cs="仿宋_GB2312" w:eastAsia="仿宋_GB2312"/>
              </w:rPr>
              <w:t>2、每日对机房网络设备进行巡检，出具日报、月报和年报，确保机房通讯网络正常运行。对机房网络线缆进行整理、打标、绘制完善机房网络拓扑图，及时更新机房设备及网络变动状态。对机房内外网及办公网系统进行网络优化，并提供网络优化合规报告。</w:t>
            </w:r>
          </w:p>
          <w:p>
            <w:pPr>
              <w:pStyle w:val="null3"/>
              <w:ind w:firstLine="560"/>
            </w:pPr>
            <w:r>
              <w:rPr>
                <w:rFonts w:ascii="仿宋_GB2312" w:hAnsi="仿宋_GB2312" w:cs="仿宋_GB2312" w:eastAsia="仿宋_GB2312"/>
              </w:rPr>
              <w:t>3、借助网络安全设备对机房内、外网络及日常办公网络进行监测，并且出具日报、月报和年报，及时发现潜在的网络安全风险，并采取相应的预防措施。确保数据传输和网络信息安全。</w:t>
            </w:r>
          </w:p>
          <w:p>
            <w:pPr>
              <w:pStyle w:val="null3"/>
              <w:ind w:firstLine="560"/>
            </w:pPr>
            <w:r>
              <w:rPr>
                <w:rFonts w:ascii="仿宋_GB2312" w:hAnsi="仿宋_GB2312" w:cs="仿宋_GB2312" w:eastAsia="仿宋_GB2312"/>
              </w:rPr>
              <w:t>4、每月对机房内、外网络及办公网络进行漏洞扫描。对发现的漏洞提供修复方案并及时修复。提供一年不少于两次的风险评估服务出具合规报告。</w:t>
            </w:r>
          </w:p>
          <w:p>
            <w:pPr>
              <w:pStyle w:val="null3"/>
              <w:ind w:firstLine="560"/>
            </w:pPr>
            <w:r>
              <w:rPr>
                <w:rFonts w:ascii="仿宋_GB2312" w:hAnsi="仿宋_GB2312" w:cs="仿宋_GB2312" w:eastAsia="仿宋_GB2312"/>
              </w:rPr>
              <w:t>5、每日对西安市综合交通信息服务平台和西安大交通微信发布平台进行安全巡检，确保发生异常情况可以及时发现并处置，避免发生网络安全事件。</w:t>
            </w:r>
          </w:p>
          <w:p>
            <w:pPr>
              <w:pStyle w:val="null3"/>
              <w:ind w:firstLine="560"/>
            </w:pPr>
            <w:r>
              <w:rPr>
                <w:rFonts w:ascii="仿宋_GB2312" w:hAnsi="仿宋_GB2312" w:cs="仿宋_GB2312" w:eastAsia="仿宋_GB2312"/>
              </w:rPr>
              <w:t>6、做好节假日、汛期、极端天气及重要时间节点的机房通讯与网络安全保障。</w:t>
            </w:r>
          </w:p>
          <w:p>
            <w:pPr>
              <w:pStyle w:val="null3"/>
              <w:ind w:firstLine="560"/>
            </w:pPr>
            <w:r>
              <w:rPr>
                <w:rFonts w:ascii="仿宋_GB2312" w:hAnsi="仿宋_GB2312" w:cs="仿宋_GB2312" w:eastAsia="仿宋_GB2312"/>
              </w:rPr>
              <w:t>7、配合组织开展网络安全宣传周活动。负责并实施机房应急演练、网络安全应急演练及宣传培训，增强整个中心的网络安全防范能力。</w:t>
            </w:r>
          </w:p>
          <w:p>
            <w:pPr>
              <w:pStyle w:val="null3"/>
              <w:ind w:firstLine="560"/>
            </w:pPr>
            <w:r>
              <w:rPr>
                <w:rFonts w:ascii="仿宋_GB2312" w:hAnsi="仿宋_GB2312" w:cs="仿宋_GB2312" w:eastAsia="仿宋_GB2312"/>
              </w:rPr>
              <w:t>8、修改并完善现有机房及网络安全相关管理制度。</w:t>
            </w:r>
          </w:p>
          <w:p>
            <w:pPr>
              <w:pStyle w:val="null3"/>
              <w:ind w:firstLine="560"/>
            </w:pPr>
            <w:r>
              <w:rPr>
                <w:rFonts w:ascii="仿宋_GB2312" w:hAnsi="仿宋_GB2312" w:cs="仿宋_GB2312" w:eastAsia="仿宋_GB2312"/>
              </w:rPr>
              <w:t>9、通过驻场工程师及备品备件支持，做好机房管理、临时性运维及网络安全工作。</w:t>
            </w:r>
          </w:p>
          <w:p>
            <w:pPr>
              <w:pStyle w:val="null3"/>
              <w:ind w:firstLine="560"/>
            </w:pPr>
            <w:r>
              <w:rPr>
                <w:rFonts w:ascii="仿宋_GB2312" w:hAnsi="仿宋_GB2312" w:cs="仿宋_GB2312" w:eastAsia="仿宋_GB2312"/>
              </w:rPr>
              <w:t>10、每周使用机房专用清洁工具，清除设备外壳表面的灰尘和污渍，保障机房整体清洁卫生。特别关注设备的通风口和散热孔，确保这些部位不被灰尘堵塞，影响散热效果。</w:t>
            </w:r>
          </w:p>
          <w:p>
            <w:pPr>
              <w:pStyle w:val="null3"/>
              <w:ind w:firstLine="560"/>
            </w:pPr>
            <w:r>
              <w:rPr>
                <w:rFonts w:ascii="仿宋_GB2312" w:hAnsi="仿宋_GB2312" w:cs="仿宋_GB2312" w:eastAsia="仿宋_GB2312"/>
              </w:rPr>
              <w:t>11、如因业务变更，需要进行机房升级、扩充、迁移等工作,服务商应配合进行方案制作、评估与论证, 做好技术沟通、协商并实施。</w:t>
            </w:r>
          </w:p>
          <w:p>
            <w:pPr>
              <w:pStyle w:val="null3"/>
              <w:ind w:firstLine="560"/>
            </w:pPr>
            <w:r>
              <w:rPr>
                <w:rFonts w:ascii="仿宋_GB2312" w:hAnsi="仿宋_GB2312" w:cs="仿宋_GB2312" w:eastAsia="仿宋_GB2312"/>
              </w:rPr>
              <w:t>12、每月对内部网络中的重要终端和网络设备的日志和配置信息进行备份，防止数据丢失或损坏，保证网络的连续性。</w:t>
            </w:r>
          </w:p>
          <w:p>
            <w:pPr>
              <w:pStyle w:val="null3"/>
              <w:ind w:firstLine="560"/>
            </w:pPr>
            <w:r>
              <w:rPr>
                <w:rFonts w:ascii="仿宋_GB2312" w:hAnsi="仿宋_GB2312" w:cs="仿宋_GB2312" w:eastAsia="仿宋_GB2312"/>
              </w:rPr>
              <w:t>13、在现有的网络环境基础上，对整个网络进行安全梳理，逐层设置网络安全防御策略，逐级提升网络安全防御能力，最终整体提升现有网络的安全防御能力，并提交策略手册。</w:t>
            </w:r>
          </w:p>
          <w:p>
            <w:pPr>
              <w:pStyle w:val="null3"/>
              <w:ind w:firstLine="560"/>
            </w:pPr>
            <w:r>
              <w:rPr>
                <w:rFonts w:ascii="仿宋_GB2312" w:hAnsi="仿宋_GB2312" w:cs="仿宋_GB2312" w:eastAsia="仿宋_GB2312"/>
              </w:rPr>
              <w:t>14、在服务期内需对现有的网络安全产品提供防护库、特征库持续更新等进行升级服务，确保网络安全设备防护库、特征库为最新版本。</w:t>
            </w:r>
          </w:p>
          <w:p>
            <w:pPr>
              <w:pStyle w:val="null3"/>
              <w:ind w:firstLine="562"/>
            </w:pPr>
            <w:r>
              <w:rPr>
                <w:rFonts w:ascii="仿宋_GB2312" w:hAnsi="仿宋_GB2312" w:cs="仿宋_GB2312" w:eastAsia="仿宋_GB2312"/>
                <w:b/>
              </w:rPr>
              <w:t>三、西安市交通信息中心现有设备清单：</w:t>
            </w:r>
          </w:p>
          <w:p>
            <w:pPr>
              <w:pStyle w:val="null3"/>
              <w:ind w:firstLine="562"/>
            </w:pPr>
            <w:r>
              <w:rPr>
                <w:rFonts w:ascii="仿宋_GB2312" w:hAnsi="仿宋_GB2312" w:cs="仿宋_GB2312" w:eastAsia="仿宋_GB2312"/>
                <w:b/>
              </w:rPr>
              <w:t>（一）网络安全产品清单</w:t>
            </w:r>
          </w:p>
          <w:tbl>
            <w:tblPr>
              <w:tblInd w:type="dxa" w:w="180"/>
              <w:tblBorders>
                <w:top w:val="none" w:color="000000" w:sz="4"/>
                <w:left w:val="none" w:color="000000" w:sz="4"/>
                <w:bottom w:val="none" w:color="000000" w:sz="4"/>
                <w:right w:val="none" w:color="000000" w:sz="4"/>
                <w:insideH w:val="none"/>
                <w:insideV w:val="none"/>
              </w:tblBorders>
            </w:tblPr>
            <w:tblGrid>
              <w:gridCol w:w="345"/>
              <w:gridCol w:w="460"/>
              <w:gridCol w:w="1269"/>
              <w:gridCol w:w="473"/>
            </w:tblGrid>
            <w:tr>
              <w:tc>
                <w:tcPr>
                  <w:tcW w:type="dxa" w:w="34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品牌</w:t>
                  </w:r>
                </w:p>
              </w:tc>
              <w:tc>
                <w:tcPr>
                  <w:tcW w:type="dxa" w:w="12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47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数量/单位</w:t>
                  </w:r>
                </w:p>
              </w:tc>
            </w:tr>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UTS探针(异常流量)</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60"/>
                  <w:vMerge/>
                  <w:tcBorders>
                    <w:top w:val="single" w:color="000000" w:sz="4"/>
                    <w:left w:val="none" w:color="000000" w:sz="4"/>
                    <w:bottom w:val="single" w:color="000000" w:sz="4"/>
                    <w:right w:val="single" w:color="000000" w:sz="4"/>
                  </w:tcBorders>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LAS(日志审计)探针</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60"/>
                  <w:vMerge/>
                  <w:tcBorders>
                    <w:top w:val="single" w:color="000000" w:sz="4"/>
                    <w:left w:val="none" w:color="000000" w:sz="4"/>
                    <w:bottom w:val="single" w:color="000000" w:sz="4"/>
                    <w:right w:val="single" w:color="000000" w:sz="4"/>
                  </w:tcBorders>
                </w:tcP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RSAS(漏洞扫描)探针</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防火墙增加IPS漏洞特征识别库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USG6332E防火墙，需增加入侵防御特征库、反病毒特征库、恶意域名特征库、文件信誉特征库</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中新金盾</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中新金盾抗拒绝服务系统</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天阗</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天阗入侵检测与管理系统</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天融信</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上网行为管理系统</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bl>
          <w:p>
            <w:pPr>
              <w:pStyle w:val="null3"/>
              <w:ind w:firstLine="562"/>
            </w:pPr>
            <w:r>
              <w:rPr>
                <w:rFonts w:ascii="仿宋_GB2312" w:hAnsi="仿宋_GB2312" w:cs="仿宋_GB2312" w:eastAsia="仿宋_GB2312"/>
                <w:b/>
              </w:rPr>
              <w:t>（二）网络设备清单</w:t>
            </w:r>
          </w:p>
          <w:tbl>
            <w:tblPr>
              <w:tblInd w:type="dxa" w:w="120"/>
              <w:tblBorders>
                <w:top w:val="none" w:color="000000" w:sz="4"/>
                <w:left w:val="none" w:color="000000" w:sz="4"/>
                <w:bottom w:val="none" w:color="000000" w:sz="4"/>
                <w:right w:val="none" w:color="000000" w:sz="4"/>
                <w:insideH w:val="none"/>
                <w:insideV w:val="none"/>
              </w:tblBorders>
            </w:tblPr>
            <w:tblGrid>
              <w:gridCol w:w="357"/>
              <w:gridCol w:w="1058"/>
              <w:gridCol w:w="666"/>
              <w:gridCol w:w="472"/>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型号信息</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数量/单位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核心交换机（内）</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华为S9306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核心交换机（外）</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华为S7706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接入交换机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华三5500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汇聚交换机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华三S5800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bl>
          <w:p>
            <w:pPr>
              <w:pStyle w:val="null3"/>
              <w:ind w:firstLine="562"/>
            </w:pPr>
            <w:r>
              <w:rPr>
                <w:rFonts w:ascii="仿宋_GB2312" w:hAnsi="仿宋_GB2312" w:cs="仿宋_GB2312" w:eastAsia="仿宋_GB2312"/>
                <w:b/>
              </w:rPr>
              <w:t>（三）机房环境及消防设备</w:t>
            </w:r>
          </w:p>
          <w:tbl>
            <w:tblPr>
              <w:tblInd w:type="dxa" w:w="120"/>
              <w:tblBorders>
                <w:top w:val="none" w:color="000000" w:sz="4"/>
                <w:left w:val="none" w:color="000000" w:sz="4"/>
                <w:bottom w:val="none" w:color="000000" w:sz="4"/>
                <w:right w:val="none" w:color="000000" w:sz="4"/>
                <w:insideH w:val="none"/>
                <w:insideV w:val="none"/>
              </w:tblBorders>
            </w:tblPr>
            <w:tblGrid>
              <w:gridCol w:w="357"/>
              <w:gridCol w:w="1058"/>
              <w:gridCol w:w="666"/>
              <w:gridCol w:w="472"/>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品牌型号</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数量/单位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机房配电柜</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奥力图</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硬盘录像机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海康威视</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门禁管理系统</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中星微</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动环告警系统</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中广控</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蓄电池组</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耐普</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5组</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新风系统</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爱美信</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消防系统</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四川汇安</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精密空调</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海信</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精密空调</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英维克</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挂式空调</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格力</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bl>
          <w:p>
            <w:pPr>
              <w:pStyle w:val="null3"/>
              <w:ind w:firstLine="562"/>
            </w:pPr>
            <w:r>
              <w:rPr>
                <w:rFonts w:ascii="仿宋_GB2312" w:hAnsi="仿宋_GB2312" w:cs="仿宋_GB2312" w:eastAsia="仿宋_GB2312"/>
                <w:b/>
              </w:rPr>
              <w:t>（四）备品备件清单</w:t>
            </w:r>
          </w:p>
          <w:tbl>
            <w:tblPr>
              <w:tblInd w:type="dxa" w:w="120"/>
              <w:tblBorders>
                <w:top w:val="none" w:color="000000" w:sz="4"/>
                <w:left w:val="none" w:color="000000" w:sz="4"/>
                <w:bottom w:val="none" w:color="000000" w:sz="4"/>
                <w:right w:val="none" w:color="000000" w:sz="4"/>
                <w:insideH w:val="none"/>
                <w:insideV w:val="none"/>
              </w:tblBorders>
            </w:tblPr>
            <w:tblGrid>
              <w:gridCol w:w="357"/>
              <w:gridCol w:w="1058"/>
              <w:gridCol w:w="666"/>
              <w:gridCol w:w="472"/>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品牌型号</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数量/单位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核心交换机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华为S9306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核心交换机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华为S7706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接入交换机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华三5500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汇聚交换机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华三S5800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中科R5240H0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网络硬盘录像机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海康</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网络摄像机</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海康</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摄像机电源</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国标</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录像机</w:t>
                  </w:r>
                  <w:r>
                    <w:rPr>
                      <w:rFonts w:ascii="仿宋_GB2312" w:hAnsi="仿宋_GB2312" w:cs="仿宋_GB2312" w:eastAsia="仿宋_GB2312"/>
                      <w:sz w:val="19"/>
                      <w:color w:val="000000"/>
                    </w:rPr>
                    <w:t>硬盘</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2T</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机柜风扇</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国标</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空调过滤网</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光电转换器</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千兆</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网线</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六类非屏蔽</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100米</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水晶头</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六类非屏蔽</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r>
                    <w:rPr>
                      <w:rFonts w:ascii="仿宋_GB2312" w:hAnsi="仿宋_GB2312" w:cs="仿宋_GB2312" w:eastAsia="仿宋_GB2312"/>
                      <w:sz w:val="19"/>
                      <w:color w:val="000000"/>
                    </w:rPr>
                    <w:t>5</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扎带</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尼龙（20cm）</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1包</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灭火器</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国标</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6个</w:t>
                  </w:r>
                </w:p>
              </w:tc>
            </w:tr>
          </w:tbl>
          <w:p>
            <w:pPr>
              <w:pStyle w:val="null3"/>
            </w:pPr>
            <w:r>
              <w:rPr>
                <w:rFonts w:ascii="仿宋_GB2312" w:hAnsi="仿宋_GB2312" w:cs="仿宋_GB2312" w:eastAsia="仿宋_GB2312"/>
                <w:b/>
              </w:rPr>
              <w:t>四、服务要求</w:t>
            </w:r>
          </w:p>
          <w:p>
            <w:pPr>
              <w:pStyle w:val="null3"/>
              <w:ind w:firstLine="560"/>
            </w:pPr>
            <w:r>
              <w:rPr>
                <w:rFonts w:ascii="仿宋_GB2312" w:hAnsi="仿宋_GB2312" w:cs="仿宋_GB2312" w:eastAsia="仿宋_GB2312"/>
              </w:rPr>
              <w:t>（一）设备维护要求</w:t>
            </w:r>
          </w:p>
          <w:p>
            <w:pPr>
              <w:pStyle w:val="null3"/>
              <w:ind w:firstLine="560"/>
            </w:pPr>
            <w:r>
              <w:rPr>
                <w:rFonts w:ascii="仿宋_GB2312" w:hAnsi="仿宋_GB2312" w:cs="仿宋_GB2312" w:eastAsia="仿宋_GB2312"/>
              </w:rPr>
              <w:t>1、在工作日，驻场工程师进行5*8小时值守，做到随叫随到，保证7*24小时热线电话畅通，随时准备处理突发的紧急情况。</w:t>
            </w:r>
          </w:p>
          <w:p>
            <w:pPr>
              <w:pStyle w:val="null3"/>
              <w:ind w:firstLine="560"/>
            </w:pPr>
            <w:r>
              <w:rPr>
                <w:rFonts w:ascii="仿宋_GB2312" w:hAnsi="仿宋_GB2312" w:cs="仿宋_GB2312" w:eastAsia="仿宋_GB2312"/>
              </w:rPr>
              <w:t>2、在非工作日，服务商维护工程师应在10分钟内提供电话响应或在线支持服务，并在1小时之内赶到现场提供现场维护服务。</w:t>
            </w:r>
          </w:p>
          <w:p>
            <w:pPr>
              <w:pStyle w:val="null3"/>
              <w:ind w:firstLine="560"/>
            </w:pPr>
            <w:r>
              <w:rPr>
                <w:rFonts w:ascii="仿宋_GB2312" w:hAnsi="仿宋_GB2312" w:cs="仿宋_GB2312" w:eastAsia="仿宋_GB2312"/>
              </w:rPr>
              <w:t>3、节假日、汛期、极端天气和重要时间节点前，须对系统进行全面检查（尤其是精密空调、电力系统和网络安全设备），分析系统运行状况，查看系统日志，进行预防性检测。节假日、汛期、极端天气和重要时间节点安排工程师进行24小时驻场服务。</w:t>
            </w:r>
          </w:p>
          <w:p>
            <w:pPr>
              <w:pStyle w:val="null3"/>
              <w:ind w:firstLine="560"/>
            </w:pPr>
            <w:r>
              <w:rPr>
                <w:rFonts w:ascii="仿宋_GB2312" w:hAnsi="仿宋_GB2312" w:cs="仿宋_GB2312" w:eastAsia="仿宋_GB2312"/>
              </w:rPr>
              <w:t>4、机房所有设备维修及更换均包含在项目费用中，不再额外支付。</w:t>
            </w:r>
          </w:p>
          <w:p>
            <w:pPr>
              <w:pStyle w:val="null3"/>
              <w:ind w:firstLine="560"/>
            </w:pPr>
            <w:r>
              <w:rPr>
                <w:rFonts w:ascii="仿宋_GB2312" w:hAnsi="仿宋_GB2312" w:cs="仿宋_GB2312" w:eastAsia="仿宋_GB2312"/>
              </w:rPr>
              <w:t>（二）网络安全保障要求</w:t>
            </w:r>
          </w:p>
          <w:p>
            <w:pPr>
              <w:pStyle w:val="null3"/>
              <w:ind w:firstLine="560"/>
            </w:pPr>
            <w:r>
              <w:rPr>
                <w:rFonts w:ascii="仿宋_GB2312" w:hAnsi="仿宋_GB2312" w:cs="仿宋_GB2312" w:eastAsia="仿宋_GB2312"/>
              </w:rPr>
              <w:t>1、服务商对于故障处理应有详细的报告记录，包含故障原因、响应时间、解决方案以及防范建议等。</w:t>
            </w:r>
          </w:p>
          <w:p>
            <w:pPr>
              <w:pStyle w:val="null3"/>
              <w:ind w:firstLine="560"/>
            </w:pPr>
            <w:r>
              <w:rPr>
                <w:rFonts w:ascii="仿宋_GB2312" w:hAnsi="仿宋_GB2312" w:cs="仿宋_GB2312" w:eastAsia="仿宋_GB2312"/>
              </w:rPr>
              <w:t>2、为及时发现、排除设备硬件故障隐患，服务商须定期巡检，在巡检过程中发现问题要及时告知采购人，按时提交巡检报告。</w:t>
            </w:r>
          </w:p>
          <w:p>
            <w:pPr>
              <w:pStyle w:val="null3"/>
              <w:ind w:firstLine="560"/>
            </w:pPr>
            <w:r>
              <w:rPr>
                <w:rFonts w:ascii="仿宋_GB2312" w:hAnsi="仿宋_GB2312" w:cs="仿宋_GB2312" w:eastAsia="仿宋_GB2312"/>
              </w:rPr>
              <w:t>3、服务商应每月对系统进行安全漏洞扫描，及时发现并修复潜在的安全威胁，确保系统的安全性。</w:t>
            </w:r>
          </w:p>
          <w:p>
            <w:pPr>
              <w:pStyle w:val="null3"/>
              <w:ind w:firstLine="560"/>
            </w:pPr>
            <w:r>
              <w:rPr>
                <w:rFonts w:ascii="仿宋_GB2312" w:hAnsi="仿宋_GB2312" w:cs="仿宋_GB2312" w:eastAsia="仿宋_GB2312"/>
              </w:rPr>
              <w:t>（三）活动组织要求</w:t>
            </w:r>
          </w:p>
          <w:p>
            <w:pPr>
              <w:pStyle w:val="null3"/>
              <w:ind w:firstLine="560"/>
            </w:pPr>
            <w:r>
              <w:rPr>
                <w:rFonts w:ascii="仿宋_GB2312" w:hAnsi="仿宋_GB2312" w:cs="仿宋_GB2312" w:eastAsia="仿宋_GB2312"/>
              </w:rPr>
              <w:t>1、根据采购人要求配合进行网络安全宣传周活动的策划与执行。</w:t>
            </w:r>
          </w:p>
          <w:p>
            <w:pPr>
              <w:pStyle w:val="null3"/>
              <w:ind w:firstLine="560"/>
            </w:pPr>
            <w:r>
              <w:rPr>
                <w:rFonts w:ascii="仿宋_GB2312" w:hAnsi="仿宋_GB2312" w:cs="仿宋_GB2312" w:eastAsia="仿宋_GB2312"/>
              </w:rPr>
              <w:t>2、根据采购人要求负责策划并开展一年不少于两次的机房应急演练与消防安全宣传培训、一年不少于两次的网络安全应急演练与网络安全宣传培训。</w:t>
            </w:r>
          </w:p>
          <w:p>
            <w:pPr>
              <w:pStyle w:val="null3"/>
              <w:ind w:firstLine="560"/>
            </w:pPr>
            <w:r>
              <w:rPr>
                <w:rFonts w:ascii="仿宋_GB2312" w:hAnsi="仿宋_GB2312" w:cs="仿宋_GB2312" w:eastAsia="仿宋_GB2312"/>
              </w:rPr>
              <w:t>（四）运维团队与物资要求</w:t>
            </w:r>
          </w:p>
          <w:p>
            <w:pPr>
              <w:pStyle w:val="null3"/>
              <w:ind w:firstLine="560"/>
            </w:pPr>
            <w:r>
              <w:rPr>
                <w:rFonts w:ascii="仿宋_GB2312" w:hAnsi="仿宋_GB2312" w:cs="仿宋_GB2312" w:eastAsia="仿宋_GB2312"/>
              </w:rPr>
              <w:t>1、安排至少1名驻场工作人员。</w:t>
            </w:r>
          </w:p>
          <w:p>
            <w:pPr>
              <w:pStyle w:val="null3"/>
              <w:ind w:firstLine="560"/>
            </w:pPr>
            <w:r>
              <w:rPr>
                <w:rFonts w:ascii="仿宋_GB2312" w:hAnsi="仿宋_GB2312" w:cs="仿宋_GB2312" w:eastAsia="仿宋_GB2312"/>
              </w:rPr>
              <w:t>2、针对该项目应建立相应的运维团队，团队中成员应具有网络运维、网络安全和项目管理相关证书。</w:t>
            </w:r>
          </w:p>
          <w:p>
            <w:pPr>
              <w:pStyle w:val="null3"/>
              <w:ind w:firstLine="560"/>
            </w:pPr>
            <w:r>
              <w:rPr>
                <w:rFonts w:ascii="仿宋_GB2312" w:hAnsi="仿宋_GB2312" w:cs="仿宋_GB2312" w:eastAsia="仿宋_GB2312"/>
              </w:rPr>
              <w:t>3、服务商应建立同城备品备件库，提供备品备件支持服务，如果机房现有设备因产品更新换代已无法购买，可以使用相同级别的设备作为备件。</w:t>
            </w:r>
          </w:p>
          <w:p>
            <w:pPr>
              <w:pStyle w:val="null3"/>
            </w:pPr>
            <w:r>
              <w:rPr>
                <w:rFonts w:ascii="仿宋_GB2312" w:hAnsi="仿宋_GB2312" w:cs="仿宋_GB2312" w:eastAsia="仿宋_GB2312"/>
              </w:rPr>
              <w:t>（五）保密要求</w:t>
            </w:r>
          </w:p>
          <w:p>
            <w:pPr>
              <w:pStyle w:val="null3"/>
            </w:pPr>
            <w:r>
              <w:rPr>
                <w:rFonts w:ascii="仿宋_GB2312" w:hAnsi="仿宋_GB2312" w:cs="仿宋_GB2312" w:eastAsia="仿宋_GB2312"/>
              </w:rPr>
              <w:t xml:space="preserve">     1、服务商及其工作人员应当遵守执业准则和恪守职业道德，本合同以及采购人提供的文件资料以及其它与执行合同有关的信息、资料，投标人应按照采购人的保密要求，遵守保密规定，不能将本合同工作成果所涉资料提供给第三方或用于其他非本协议用途，检查完成后应立即归还所有资料，不得复制留存。同时采购人应保证所涉文件资料的存放安全，以防止非相关人员接触，并确保该资料不致泄密。</w:t>
            </w:r>
          </w:p>
          <w:p>
            <w:pPr>
              <w:pStyle w:val="null3"/>
            </w:pPr>
            <w:r>
              <w:rPr>
                <w:rFonts w:ascii="仿宋_GB2312" w:hAnsi="仿宋_GB2312" w:cs="仿宋_GB2312" w:eastAsia="仿宋_GB2312"/>
              </w:rPr>
              <w:t xml:space="preserve">     2、服务商应保证其向采购人提交的所有工作成果不得侵犯第三人的合法权益，也不得与第三人存在任何形式的纠纷。采购人因使用服务商提交的成果被第三人指控侵权、提出异议或权利主张的，服务商应当积极协助解决，给采购人造成损失的，服务商应当及时、完整地赔偿。</w:t>
            </w:r>
          </w:p>
          <w:p>
            <w:pPr>
              <w:pStyle w:val="null3"/>
            </w:pPr>
            <w:r>
              <w:rPr>
                <w:rFonts w:ascii="仿宋_GB2312" w:hAnsi="仿宋_GB2312" w:cs="仿宋_GB2312" w:eastAsia="仿宋_GB2312"/>
              </w:rPr>
              <w:t xml:space="preserve">     3、完成本项研究所取得的研究成果和所搜集的资料归采购人所有，未经同意不得向第三方提供，期限为相关规划项目完成。</w:t>
            </w:r>
          </w:p>
          <w:p>
            <w:pPr>
              <w:pStyle w:val="null3"/>
            </w:pPr>
            <w:r>
              <w:rPr>
                <w:rFonts w:ascii="仿宋_GB2312" w:hAnsi="仿宋_GB2312" w:cs="仿宋_GB2312" w:eastAsia="仿宋_GB2312"/>
              </w:rPr>
              <w:t xml:space="preserve">     4、服务商应严格遵守国家相关的信息安全法律法规，对服务过程中获取的信息数据进行保密，不得泄露给第三方。</w:t>
            </w:r>
          </w:p>
          <w:p>
            <w:pPr>
              <w:pStyle w:val="null3"/>
            </w:pPr>
            <w:r>
              <w:rPr>
                <w:rFonts w:ascii="仿宋_GB2312" w:hAnsi="仿宋_GB2312" w:cs="仿宋_GB2312" w:eastAsia="仿宋_GB2312"/>
              </w:rPr>
              <w:t>（六）档案管理</w:t>
            </w:r>
          </w:p>
          <w:p>
            <w:pPr>
              <w:pStyle w:val="null3"/>
            </w:pPr>
            <w:r>
              <w:rPr>
                <w:rFonts w:ascii="仿宋_GB2312" w:hAnsi="仿宋_GB2312" w:cs="仿宋_GB2312" w:eastAsia="仿宋_GB2312"/>
              </w:rPr>
              <w:t xml:space="preserve">      服务商需设有详细的技术资料档案和服务档案，保存项目的详细资料以便于更好地提供服务。</w:t>
            </w:r>
          </w:p>
          <w:p>
            <w:pPr>
              <w:pStyle w:val="null3"/>
            </w:pPr>
            <w:r>
              <w:rPr>
                <w:rFonts w:ascii="仿宋_GB2312" w:hAnsi="仿宋_GB2312" w:cs="仿宋_GB2312" w:eastAsia="仿宋_GB2312"/>
                <w:b/>
              </w:rPr>
              <w:t>五、商务要求</w:t>
            </w:r>
          </w:p>
          <w:p>
            <w:pPr>
              <w:pStyle w:val="null3"/>
            </w:pPr>
            <w:r>
              <w:rPr>
                <w:rFonts w:ascii="仿宋_GB2312" w:hAnsi="仿宋_GB2312" w:cs="仿宋_GB2312" w:eastAsia="仿宋_GB2312"/>
              </w:rPr>
              <w:t>（一）服务期：合同签订之后，自签署开工令后满一年。</w:t>
            </w:r>
          </w:p>
          <w:p>
            <w:pPr>
              <w:pStyle w:val="null3"/>
            </w:pPr>
            <w:r>
              <w:rPr>
                <w:rFonts w:ascii="仿宋_GB2312" w:hAnsi="仿宋_GB2312" w:cs="仿宋_GB2312" w:eastAsia="仿宋_GB2312"/>
                <w:color w:val="000000"/>
              </w:rPr>
              <w:t>（二）服务地点：西安市交通信息中心，具体以采购人指定地点为准。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合同签订之后，自签署开工令后满一年。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西安市交通信息中心，具体以采购人指定地点为准。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经甲方验收合格后，确定项目完成，验收标准符合国家有关规定、规范。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合同签订后，甲方每次付款前，乙方需向甲方交付符合其要求的发票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项目自签署开工令后两个月，通过甲方服务质量阶段性考核后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2026年财政拨付项目尾款预算并通过甲方服务质量阶段性考核后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2026年财政拨付项目尾款预算且项目履约验收合格后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2）成交供应商在领取成交通知书前，须向采购代理机构提供纸质版响应文件3套（一正两副），且提供的响应文件必须与在陕西省政府采购综合管理平台的项目电子化交易系统中递交的电子响应文件内容一致，纸质 版响应文件必须装订成册签字盖章。（3）如磋商文件中融资相关内容与新政策要求有出入，按照最新要求执行。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合同主要条款响应偏离表.docx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内容至少包括①服务目标；②服务实施步骤计划（服务工作流程）；③服务管理规章制度；④工作重点与难点分析及对应措施等。 以上内容专门针对本项目且符合本项目实际需求的得16分，每缺一项内容扣4分，若上述内容存在瑕疵，每存在1处瑕疵扣1分，扣完为止。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内容至少包括①质量保障措施；②安全保障措施；③进度保障措施；④风险管理措施等。 以上内容专门针对本项目且符合本项目实际需求的得12分，每缺一项内容扣3分，若上述内容存在瑕疵，每存在1处瑕疵扣1分，扣完为止。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拟投入的团队人员配备方案</w:t>
            </w:r>
          </w:p>
        </w:tc>
        <w:tc>
          <w:tcPr>
            <w:tcW w:type="dxa" w:w="2492"/>
          </w:tcPr>
          <w:p>
            <w:pPr>
              <w:pStyle w:val="null3"/>
            </w:pPr>
            <w:r>
              <w:rPr>
                <w:rFonts w:ascii="仿宋_GB2312" w:hAnsi="仿宋_GB2312" w:cs="仿宋_GB2312" w:eastAsia="仿宋_GB2312"/>
              </w:rPr>
              <w:t>内容至少包括①项目实施服务团队组织方案；②团队人员配备清单；③岗位工作职责及管理制度；④团队人员考核制度等。 以上内容专门针对本项目且符合本项目实际需求的得16分，每缺一项内容扣4分，若上述内容存在瑕疵，每存在1处瑕疵扣1分，扣完为止。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服务团队人员能力</w:t>
            </w:r>
          </w:p>
        </w:tc>
        <w:tc>
          <w:tcPr>
            <w:tcW w:type="dxa" w:w="2492"/>
          </w:tcPr>
          <w:p>
            <w:pPr>
              <w:pStyle w:val="null3"/>
            </w:pPr>
            <w:r>
              <w:rPr>
                <w:rFonts w:ascii="仿宋_GB2312" w:hAnsi="仿宋_GB2312" w:cs="仿宋_GB2312" w:eastAsia="仿宋_GB2312"/>
              </w:rPr>
              <w:t>运维服务团队成员具有网络运维、网络安全和项目管理等信息化相关行业认证证书，每提供一个有效证书得2分（同一类证书不重复计分），满分6分，未提供不得分。 注：提供有效的认证证书的复印件或扫描件并加盖供应商公章。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保密方案及档案管理</w:t>
            </w:r>
          </w:p>
        </w:tc>
        <w:tc>
          <w:tcPr>
            <w:tcW w:type="dxa" w:w="2492"/>
          </w:tcPr>
          <w:p>
            <w:pPr>
              <w:pStyle w:val="null3"/>
            </w:pPr>
            <w:r>
              <w:rPr>
                <w:rFonts w:ascii="仿宋_GB2312" w:hAnsi="仿宋_GB2312" w:cs="仿宋_GB2312" w:eastAsia="仿宋_GB2312"/>
              </w:rPr>
              <w:t>内容至少包括①保密管理制度；②数据和信息安全保密措施；③保密承诺；④档案管理措施等。 以上内容专门针对本项目且符合本项目实际需求的得8分，每缺一项内容扣2分，若上述内容存在瑕疵，每存在1处瑕疵扣1分，扣完为止。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内容至少包括①培训目标 ；②培训计划；③培训组织方式；④培训课程；⑤培训质量保证措施等。 以上内容专门针对本项目且符合本项目实际需求的得10分，每缺一项内容扣2分，若上述内容存在瑕疵，每存在1处瑕疵扣1分，扣完为止。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内容至少包括①应急预案措施；②应急演练方案（机房应急、网络安全应急）；③应急常识宣传（消防安全、网络安全）；④应急响应安排；⑤满足故障处理所需的备品备件或措施清单内容等 以上内容专门针对本项目且符合本项目实际需求的得10分，每缺一项内容扣2分，若上述内容存在瑕疵，每存在1处瑕疵扣1分，扣完为止。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供应商具有信息技术服务管理体系认证（ISO20000）证书或信息安全管理体系认证（ISO27001）证书，每提供一个有效证书得2分，满分4分，未提供不得分。 注：提供有效证书的复印件或扫描件并加盖供应商公章。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供应商提供2022年01月01日至今（以合同签订时间为准）的类似项目业绩，每提供一份得2分，满分8分。 注：提供合同复印件或扫描件并加盖供应商公章。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满足磋商文件内容及技术要求且最终磋商报价最低的价格为评审基准价，其价格分为满分。 其他供应商的价格分统一按照下列公式计算：磋商报价得分=（评审基准价／最终磋商报价）×价格权值×100。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详见附件：合同主要条款响应偏离表.docx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