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27E4F">
      <w:pPr>
        <w:tabs>
          <w:tab w:val="left" w:pos="9030"/>
        </w:tabs>
        <w:snapToGrid w:val="0"/>
        <w:spacing w:line="360" w:lineRule="auto"/>
        <w:ind w:right="-62"/>
        <w:jc w:val="center"/>
        <w:outlineLvl w:val="0"/>
        <w:rPr>
          <w:b/>
          <w:bCs/>
          <w:sz w:val="44"/>
          <w:szCs w:val="44"/>
          <w:lang w:val="zh-CN"/>
        </w:rPr>
      </w:pPr>
      <w:r>
        <w:rPr>
          <w:rFonts w:hint="eastAsia" w:ascii="宋体" w:hAnsi="宋体" w:cs="宋体"/>
          <w:b/>
          <w:bCs/>
          <w:sz w:val="44"/>
          <w:szCs w:val="44"/>
          <w:lang w:val="zh-CN"/>
        </w:rPr>
        <w:t>拟签订</w:t>
      </w:r>
      <w:r>
        <w:rPr>
          <w:rFonts w:hint="eastAsia" w:ascii="宋体" w:hAnsi="宋体" w:cs="宋体"/>
          <w:b/>
          <w:bCs/>
          <w:sz w:val="44"/>
          <w:szCs w:val="44"/>
          <w:lang w:val="en-US" w:eastAsia="zh-CN"/>
        </w:rPr>
        <w:t>采购</w:t>
      </w:r>
      <w:r>
        <w:rPr>
          <w:rFonts w:hint="eastAsia" w:ascii="宋体" w:hAnsi="宋体" w:cs="宋体"/>
          <w:b/>
          <w:bCs/>
          <w:sz w:val="44"/>
          <w:szCs w:val="44"/>
          <w:lang w:val="zh-CN"/>
        </w:rPr>
        <w:t>合同文本</w:t>
      </w:r>
    </w:p>
    <w:p w14:paraId="182D4B6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甲方（采购人）： </w:t>
      </w:r>
    </w:p>
    <w:p w14:paraId="65507E6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乙方（成交供应商）： </w:t>
      </w:r>
    </w:p>
    <w:p w14:paraId="1FDB663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u w:val="single"/>
          <w:lang w:val="en-US" w:eastAsia="zh-CN"/>
        </w:rPr>
        <w:t>2025年通讯机房及信息安全第三方维保服务项目(项目编号：SXHC2025-170)</w:t>
      </w:r>
      <w:r>
        <w:rPr>
          <w:rFonts w:hint="eastAsia" w:ascii="仿宋_GB2312" w:hAnsi="仿宋_GB2312" w:eastAsia="仿宋_GB2312" w:cs="仿宋_GB2312"/>
          <w:color w:val="auto"/>
          <w:sz w:val="28"/>
          <w:szCs w:val="28"/>
          <w:highlight w:val="none"/>
          <w:lang w:val="en-US" w:eastAsia="zh-CN"/>
        </w:rPr>
        <w:t>，由陕西华采招标有限公司组织竞争性磋商，</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(以下简称“甲方”)确定</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（以下简称“乙方”）为该项目的成交供应商。</w:t>
      </w:r>
    </w:p>
    <w:p w14:paraId="33261B8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依据《中华人民共和国民法典》和《中华人民共和国政府采购法》之规定，经双方在平等、自愿、互利的基础上，签订本合同，共同信守。</w:t>
      </w:r>
    </w:p>
    <w:p w14:paraId="52A9165A">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一、合同价款</w:t>
      </w:r>
    </w:p>
    <w:p w14:paraId="4C85B20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（一）合同价款为人民币（大写）</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p>
    <w:p w14:paraId="67E4776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（二）合同价款是指本次服务内容所需的全部费用, 包括但不限于设备费、实施费、管理费、维保费、人员工资、税金及其它全部费用。</w:t>
      </w:r>
    </w:p>
    <w:p w14:paraId="341EDA2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（三）合同价款一次性包死，不受市场价格变化因素的影响。</w:t>
      </w:r>
    </w:p>
    <w:p w14:paraId="2A03A1A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二、委托工作内容：</w:t>
      </w:r>
      <w:r>
        <w:rPr>
          <w:rFonts w:hint="eastAsia" w:ascii="仿宋_GB2312" w:hAnsi="仿宋_GB2312" w:eastAsia="仿宋_GB2312" w:cs="仿宋_GB2312"/>
          <w:b/>
          <w:bCs/>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w:t>
      </w:r>
    </w:p>
    <w:p w14:paraId="6AAF1A18">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三、款项结算</w:t>
      </w:r>
    </w:p>
    <w:p w14:paraId="5DF9B60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（一）付款方式：</w:t>
      </w:r>
    </w:p>
    <w:p w14:paraId="7404BD7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1、合同签订后，甲方每次付款前，乙方需向甲方交付符合其要求的发票，达到付款条件起30日内，支付合同总金额的40%。</w:t>
      </w:r>
    </w:p>
    <w:p w14:paraId="5EFA4FE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2、项目自签署开工令后两个月，通过甲方服务质量阶段性考核后，达到付款条件起30日内，支付合同总金额的10%。</w:t>
      </w:r>
    </w:p>
    <w:p w14:paraId="7081F93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3、2026年财政拨付项目尾款预算并通过甲方服务质量阶段性考核后，达到付款条件起30日内，支付合同总金额的40%。</w:t>
      </w:r>
    </w:p>
    <w:p w14:paraId="7AFF560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4、2026年财政拨付项目尾款预算且项目履约验收合格后，达到付款条件起30日内，支付合同总金额的10%。</w:t>
      </w:r>
    </w:p>
    <w:p w14:paraId="2FCDC2C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（二）结算方式：银行转账。</w:t>
      </w:r>
    </w:p>
    <w:p w14:paraId="03820AB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（三）结算单位：由甲方负责结算，乙方需开具发票给甲方。</w:t>
      </w:r>
    </w:p>
    <w:p w14:paraId="535024CC">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四、服务期及服务地点</w:t>
      </w:r>
    </w:p>
    <w:p w14:paraId="4D973F8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（一）服务期：合同签订后，</w:t>
      </w:r>
      <w:r>
        <w:rPr>
          <w:rFonts w:hint="eastAsia" w:ascii="仿宋_GB2312" w:hAnsi="仿宋_GB2312" w:eastAsia="仿宋_GB2312" w:cs="仿宋_GB2312"/>
          <w:sz w:val="28"/>
          <w:szCs w:val="28"/>
          <w:highlight w:val="none"/>
          <w:lang w:val="en-US" w:eastAsia="zh-CN"/>
        </w:rPr>
        <w:t>自签署开工令后满一年</w:t>
      </w:r>
      <w:r>
        <w:rPr>
          <w:rFonts w:hint="eastAsia" w:ascii="仿宋_GB2312" w:hAnsi="仿宋_GB2312" w:eastAsia="仿宋_GB2312" w:cs="仿宋_GB2312"/>
          <w:color w:val="auto"/>
          <w:sz w:val="28"/>
          <w:szCs w:val="28"/>
          <w:highlight w:val="none"/>
          <w:lang w:val="en-US" w:eastAsia="zh-CN"/>
        </w:rPr>
        <w:t>。</w:t>
      </w:r>
    </w:p>
    <w:p w14:paraId="3FD1572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（二）服务地点：</w:t>
      </w:r>
      <w:r>
        <w:rPr>
          <w:rFonts w:hint="eastAsia" w:ascii="仿宋_GB2312" w:hAnsi="仿宋_GB2312" w:eastAsia="仿宋_GB2312" w:cs="仿宋_GB2312"/>
          <w:spacing w:val="-19"/>
          <w:sz w:val="28"/>
          <w:szCs w:val="28"/>
          <w:highlight w:val="none"/>
          <w:lang w:eastAsia="zh-CN"/>
        </w:rPr>
        <w:t>西安市交通信息中心，具体以采购人指定地点为准。</w:t>
      </w:r>
      <w:r>
        <w:rPr>
          <w:rFonts w:hint="eastAsia" w:ascii="仿宋_GB2312" w:hAnsi="仿宋_GB2312" w:eastAsia="仿宋_GB2312" w:cs="仿宋_GB2312"/>
          <w:color w:val="auto"/>
          <w:sz w:val="28"/>
          <w:szCs w:val="28"/>
          <w:highlight w:val="none"/>
          <w:lang w:val="en-US" w:eastAsia="zh-CN"/>
        </w:rPr>
        <w:t>。</w:t>
      </w:r>
    </w:p>
    <w:p w14:paraId="71CFBC3E">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五、双方的权利和义务</w:t>
      </w:r>
    </w:p>
    <w:p w14:paraId="2D7A2CF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（一）甲方的权利与义务</w:t>
      </w:r>
    </w:p>
    <w:p w14:paraId="2D239C8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1、甲方负责配合本次项目服务工作；</w:t>
      </w:r>
    </w:p>
    <w:p w14:paraId="6AF5F74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2、甲方应按本合同的约定向乙方支付合同价款；</w:t>
      </w:r>
    </w:p>
    <w:p w14:paraId="2E19160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3、甲方根据需要对乙方提供的实施方案进行审核，提供建议及意见，确定最终实施的服务方案，以便乙方遵照执行；</w:t>
      </w:r>
    </w:p>
    <w:p w14:paraId="06A384B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4、甲方有权对乙方的工作进行监督和考核。</w:t>
      </w:r>
    </w:p>
    <w:p w14:paraId="0E7F4B9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（二）乙方的权利与义务</w:t>
      </w:r>
    </w:p>
    <w:p w14:paraId="7F57AE2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1、乙方的工作人员必须严格遵守甲方的规章制度，以良好的形象和积极的工作态度，按甲方要求开展工作；</w:t>
      </w:r>
    </w:p>
    <w:p w14:paraId="7E310D7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2、乙方应服从甲方统筹管理并按流程开展工作；</w:t>
      </w:r>
    </w:p>
    <w:p w14:paraId="62D15A6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3、乙方提交的方案等应得到甲方确认再予以实施。</w:t>
      </w:r>
    </w:p>
    <w:p w14:paraId="26A134C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六、服务质量保证</w:t>
      </w:r>
    </w:p>
    <w:p w14:paraId="51AA98F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以磋商文件、澄清表、合同和服务承诺的相关文件为准，但至少应包括：</w:t>
      </w:r>
    </w:p>
    <w:p w14:paraId="58E6CA6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（一）乙方需派1名项目经理，直接与甲方沟通，并委派至少1名服务团队成员提供驻场服务，项目经理接收甲方提出的问题与要求，并及时向公司申请调动资源，解决甲方在项目实施过程中遇到的问题。</w:t>
      </w:r>
    </w:p>
    <w:p w14:paraId="0FA3612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（二）项目在实施过程中会出现不可预料的需求变更，乙方需积极配合甲方的需求变更，并按照变更后的需求继续服务。</w:t>
      </w:r>
    </w:p>
    <w:p w14:paraId="18547EB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（三）对于重大故障或者需要较高技术的服务，乙方需根据甲方的具体情况，紧急成立由各专家和资深技术人员组成的专家服务组，为客户提供诊断和技术咨询服务，迅速排除故障。</w:t>
      </w:r>
    </w:p>
    <w:p w14:paraId="373037B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（四）乙方需设有详细的技术资料档案和服务档案，将保存项目的详细资料以便于更好地提供服务。</w:t>
      </w:r>
    </w:p>
    <w:p w14:paraId="7E819F2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（五）服务响应：提供7*24小时的服务响应，出现问题或意外情况时，乙方会及时派出相关人员1小时内解决问题。</w:t>
      </w:r>
    </w:p>
    <w:p w14:paraId="5120F580">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七、知识产权</w:t>
      </w:r>
    </w:p>
    <w:p w14:paraId="3E0996B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（一）本项目知识产权归甲方所有。</w:t>
      </w:r>
    </w:p>
    <w:p w14:paraId="6C36897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（二）乙方无论出于任何目的如在其他地方使用该成果，必须经甲方同意方可使用。否则，甲方有权要求终止涉及到该中标知识产权的任何使用活动并保留追究卖方相应的法律责任的权利。 </w:t>
      </w:r>
    </w:p>
    <w:p w14:paraId="5957A3C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（三）乙方为执行本合同而提供的技术资料使用权归甲方所有。</w:t>
      </w:r>
    </w:p>
    <w:p w14:paraId="3F6C9131">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八、保密规定</w:t>
      </w:r>
    </w:p>
    <w:p w14:paraId="7B4AFB0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186CAE47">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九、其他事项</w:t>
      </w:r>
    </w:p>
    <w:p w14:paraId="1C30767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（一）如因财政拨款导致甲方无法按时支付的，乙方对此表示理解并同意，待甲方收到财政拨款履行</w:t>
      </w:r>
      <w:bookmarkStart w:id="0" w:name="_GoBack"/>
      <w:bookmarkEnd w:id="0"/>
      <w:r>
        <w:rPr>
          <w:rFonts w:hint="eastAsia" w:ascii="仿宋_GB2312" w:hAnsi="仿宋_GB2312" w:eastAsia="仿宋_GB2312" w:cs="仿宋_GB2312"/>
          <w:color w:val="auto"/>
          <w:sz w:val="28"/>
          <w:szCs w:val="28"/>
          <w:highlight w:val="none"/>
          <w:lang w:val="en-US" w:eastAsia="zh-CN"/>
        </w:rPr>
        <w:t>完内部审批流程后，再向乙方支付合作价款，乙方不因此追究甲方任何责任。</w:t>
      </w:r>
    </w:p>
    <w:p w14:paraId="66C8D4E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（二）乙方不得转让给其它单位或个人。</w:t>
      </w:r>
    </w:p>
    <w:p w14:paraId="6B5F661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（三）乙方的响应文件和承诺等内容将列入合同。</w:t>
      </w:r>
    </w:p>
    <w:p w14:paraId="51C63C3D">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十、验收</w:t>
      </w:r>
    </w:p>
    <w:p w14:paraId="0CD9419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（一）本项目验收费用，由乙方自行承担。</w:t>
      </w:r>
    </w:p>
    <w:p w14:paraId="2F38920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（二）服务期满后，由乙方向甲方递交验收通知书，经甲方确认后，组织乙方进行验收。验收合格后，填写政府采购项目验收单作为对本次服务的最终认可。</w:t>
      </w:r>
    </w:p>
    <w:p w14:paraId="1C0EFA8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（三）验收依据：</w:t>
      </w:r>
    </w:p>
    <w:p w14:paraId="1438D4A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1、本合同及附加文本；</w:t>
      </w:r>
    </w:p>
    <w:p w14:paraId="6871AAF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2、磋商文件、成交供应商的响应文件及澄清（承诺）函；</w:t>
      </w:r>
    </w:p>
    <w:p w14:paraId="7D5E153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3、国家相应的标准、规范。</w:t>
      </w:r>
    </w:p>
    <w:p w14:paraId="07F0739B">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十一、违约责任</w:t>
      </w:r>
    </w:p>
    <w:p w14:paraId="4311AC1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（一）按《中华人民共和国民法典》中的相关条款执行。</w:t>
      </w:r>
    </w:p>
    <w:p w14:paraId="1766EBE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（二）未按合同要求提供服务或服务质量不能满足本次招标要求，甲方有权终止合同和对乙方违约行为进行追究，同时按政府采购法的有关规定进行相应的处罚。</w:t>
      </w:r>
    </w:p>
    <w:p w14:paraId="6A0C6116">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十二、合同争议解决的方式</w:t>
      </w:r>
    </w:p>
    <w:p w14:paraId="271626EF">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本合同在履行过程中发生的争议，由甲、乙双方当事人协商解决，协商不成的按下列第</w:t>
      </w:r>
      <w:r>
        <w:rPr>
          <w:rFonts w:hint="eastAsia" w:ascii="仿宋_GB2312" w:hAnsi="仿宋_GB2312" w:eastAsia="仿宋_GB2312" w:cs="仿宋_GB2312"/>
          <w:color w:val="auto"/>
          <w:sz w:val="28"/>
          <w:szCs w:val="28"/>
          <w:highlight w:val="none"/>
          <w:u w:val="single"/>
          <w:lang w:val="en-US" w:eastAsia="zh-CN"/>
        </w:rPr>
        <w:t>（二）</w:t>
      </w:r>
      <w:r>
        <w:rPr>
          <w:rFonts w:hint="eastAsia" w:ascii="仿宋_GB2312" w:hAnsi="仿宋_GB2312" w:eastAsia="仿宋_GB2312" w:cs="仿宋_GB2312"/>
          <w:color w:val="auto"/>
          <w:sz w:val="28"/>
          <w:szCs w:val="28"/>
          <w:highlight w:val="none"/>
          <w:lang w:val="en-US" w:eastAsia="zh-CN"/>
        </w:rPr>
        <w:t>种方式解决：</w:t>
      </w:r>
    </w:p>
    <w:p w14:paraId="544CB91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（一）提交西安仲裁委员会仲裁；</w:t>
      </w:r>
    </w:p>
    <w:p w14:paraId="09258EE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（二）依法向甲方所在地人民法院起诉。</w:t>
      </w:r>
    </w:p>
    <w:p w14:paraId="3E3842B7">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十三、合同生效</w:t>
      </w:r>
    </w:p>
    <w:p w14:paraId="7AEE4B7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（一）本合同须经甲、乙双方的法定代表人（授权代表）在合同书上签字并加盖本单位公章后正式生效。</w:t>
      </w:r>
    </w:p>
    <w:p w14:paraId="10AE811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（二）合同生效后，甲、乙双方须严格执行本合同条款的规定，全面履行合同，违者按《中华人民共和国民法典》的有关规定承担相应责任。</w:t>
      </w:r>
    </w:p>
    <w:p w14:paraId="474E3BB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（三）本合同一式</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份，甲乙双方各执</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份。</w:t>
      </w:r>
    </w:p>
    <w:p w14:paraId="772CFAE1">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lang w:val="en-US" w:eastAsia="zh-CN"/>
        </w:rPr>
        <w:t>（四）本合同如有未尽事宜，甲、乙双方协商解决</w:t>
      </w:r>
      <w:r>
        <w:rPr>
          <w:rFonts w:hint="eastAsia" w:ascii="仿宋_GB2312" w:hAnsi="仿宋_GB2312" w:eastAsia="仿宋_GB2312" w:cs="仿宋_GB2312"/>
          <w:sz w:val="28"/>
          <w:szCs w:val="28"/>
        </w:rPr>
        <w:t>。</w:t>
      </w:r>
    </w:p>
    <w:p w14:paraId="48068CBD">
      <w:pPr>
        <w:pStyle w:val="8"/>
        <w:tabs>
          <w:tab w:val="center" w:pos="4153"/>
          <w:tab w:val="right" w:pos="8306"/>
          <w:tab w:val="clear" w:pos="4140"/>
          <w:tab w:val="clear" w:pos="8300"/>
        </w:tabs>
        <w:rPr>
          <w:rFonts w:ascii="仿宋_GB2312" w:hAnsi="仿宋_GB2312" w:eastAsia="仿宋_GB2312" w:cs="仿宋_GB2312"/>
          <w:sz w:val="28"/>
          <w:szCs w:val="28"/>
        </w:rPr>
      </w:pPr>
    </w:p>
    <w:tbl>
      <w:tblPr>
        <w:tblStyle w:val="13"/>
        <w:tblW w:w="0" w:type="auto"/>
        <w:jc w:val="center"/>
        <w:tblLayout w:type="fixed"/>
        <w:tblCellMar>
          <w:top w:w="0" w:type="dxa"/>
          <w:left w:w="108" w:type="dxa"/>
          <w:bottom w:w="0" w:type="dxa"/>
          <w:right w:w="108" w:type="dxa"/>
        </w:tblCellMar>
      </w:tblPr>
      <w:tblGrid>
        <w:gridCol w:w="4201"/>
        <w:gridCol w:w="4202"/>
      </w:tblGrid>
      <w:tr w14:paraId="7ADEF8A1">
        <w:tblPrEx>
          <w:tblCellMar>
            <w:top w:w="0" w:type="dxa"/>
            <w:left w:w="108" w:type="dxa"/>
            <w:bottom w:w="0" w:type="dxa"/>
            <w:right w:w="108" w:type="dxa"/>
          </w:tblCellMar>
        </w:tblPrEx>
        <w:trPr>
          <w:trHeight w:val="567" w:hRule="exact"/>
          <w:jc w:val="center"/>
        </w:trPr>
        <w:tc>
          <w:tcPr>
            <w:tcW w:w="4201" w:type="dxa"/>
            <w:noWrap w:val="0"/>
            <w:vAlign w:val="center"/>
          </w:tcPr>
          <w:p w14:paraId="304D2A9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甲  方</w:t>
            </w:r>
          </w:p>
        </w:tc>
        <w:tc>
          <w:tcPr>
            <w:tcW w:w="4202" w:type="dxa"/>
            <w:noWrap w:val="0"/>
            <w:vAlign w:val="center"/>
          </w:tcPr>
          <w:p w14:paraId="4499C4A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1AD84AED">
        <w:tblPrEx>
          <w:tblCellMar>
            <w:top w:w="0" w:type="dxa"/>
            <w:left w:w="108" w:type="dxa"/>
            <w:bottom w:w="0" w:type="dxa"/>
            <w:right w:w="108" w:type="dxa"/>
          </w:tblCellMar>
        </w:tblPrEx>
        <w:trPr>
          <w:trHeight w:val="567" w:hRule="exact"/>
          <w:jc w:val="center"/>
        </w:trPr>
        <w:tc>
          <w:tcPr>
            <w:tcW w:w="4201" w:type="dxa"/>
            <w:noWrap w:val="0"/>
            <w:vAlign w:val="center"/>
          </w:tcPr>
          <w:p w14:paraId="25776D00">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noWrap w:val="0"/>
            <w:vAlign w:val="center"/>
          </w:tcPr>
          <w:p w14:paraId="3006333B">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05448D3B">
        <w:tblPrEx>
          <w:tblCellMar>
            <w:top w:w="0" w:type="dxa"/>
            <w:left w:w="108" w:type="dxa"/>
            <w:bottom w:w="0" w:type="dxa"/>
            <w:right w:w="108" w:type="dxa"/>
          </w:tblCellMar>
        </w:tblPrEx>
        <w:trPr>
          <w:trHeight w:val="567" w:hRule="exact"/>
          <w:jc w:val="center"/>
        </w:trPr>
        <w:tc>
          <w:tcPr>
            <w:tcW w:w="4201" w:type="dxa"/>
            <w:noWrap w:val="0"/>
            <w:vAlign w:val="center"/>
          </w:tcPr>
          <w:p w14:paraId="6899C4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noWrap w:val="0"/>
            <w:vAlign w:val="center"/>
          </w:tcPr>
          <w:p w14:paraId="13194C5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2E303375">
        <w:tblPrEx>
          <w:tblCellMar>
            <w:top w:w="0" w:type="dxa"/>
            <w:left w:w="108" w:type="dxa"/>
            <w:bottom w:w="0" w:type="dxa"/>
            <w:right w:w="108" w:type="dxa"/>
          </w:tblCellMar>
        </w:tblPrEx>
        <w:trPr>
          <w:trHeight w:val="567" w:hRule="exact"/>
          <w:jc w:val="center"/>
        </w:trPr>
        <w:tc>
          <w:tcPr>
            <w:tcW w:w="4201" w:type="dxa"/>
            <w:noWrap w:val="0"/>
            <w:vAlign w:val="center"/>
          </w:tcPr>
          <w:p w14:paraId="62A1912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noWrap w:val="0"/>
            <w:vAlign w:val="center"/>
          </w:tcPr>
          <w:p w14:paraId="280DA8C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479507CB">
        <w:tblPrEx>
          <w:tblCellMar>
            <w:top w:w="0" w:type="dxa"/>
            <w:left w:w="108" w:type="dxa"/>
            <w:bottom w:w="0" w:type="dxa"/>
            <w:right w:w="108" w:type="dxa"/>
          </w:tblCellMar>
        </w:tblPrEx>
        <w:trPr>
          <w:trHeight w:val="567" w:hRule="exact"/>
          <w:jc w:val="center"/>
        </w:trPr>
        <w:tc>
          <w:tcPr>
            <w:tcW w:w="4201" w:type="dxa"/>
            <w:noWrap w:val="0"/>
            <w:vAlign w:val="center"/>
          </w:tcPr>
          <w:p w14:paraId="5C86B54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noWrap w:val="0"/>
            <w:vAlign w:val="center"/>
          </w:tcPr>
          <w:p w14:paraId="2B686AD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3060D77D">
        <w:tblPrEx>
          <w:tblCellMar>
            <w:top w:w="0" w:type="dxa"/>
            <w:left w:w="108" w:type="dxa"/>
            <w:bottom w:w="0" w:type="dxa"/>
            <w:right w:w="108" w:type="dxa"/>
          </w:tblCellMar>
        </w:tblPrEx>
        <w:trPr>
          <w:trHeight w:val="567" w:hRule="exact"/>
          <w:jc w:val="center"/>
        </w:trPr>
        <w:tc>
          <w:tcPr>
            <w:tcW w:w="4201" w:type="dxa"/>
            <w:noWrap w:val="0"/>
            <w:vAlign w:val="center"/>
          </w:tcPr>
          <w:p w14:paraId="16FD4D5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c>
          <w:tcPr>
            <w:tcW w:w="4202" w:type="dxa"/>
            <w:noWrap w:val="0"/>
            <w:vAlign w:val="center"/>
          </w:tcPr>
          <w:p w14:paraId="00BE403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r>
      <w:tr w14:paraId="0F9B1425">
        <w:tblPrEx>
          <w:tblCellMar>
            <w:top w:w="0" w:type="dxa"/>
            <w:left w:w="108" w:type="dxa"/>
            <w:bottom w:w="0" w:type="dxa"/>
            <w:right w:w="108" w:type="dxa"/>
          </w:tblCellMar>
        </w:tblPrEx>
        <w:trPr>
          <w:trHeight w:val="567" w:hRule="exact"/>
          <w:jc w:val="center"/>
        </w:trPr>
        <w:tc>
          <w:tcPr>
            <w:tcW w:w="4201" w:type="dxa"/>
            <w:noWrap w:val="0"/>
            <w:vAlign w:val="center"/>
          </w:tcPr>
          <w:p w14:paraId="0C433912">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noWrap w:val="0"/>
            <w:vAlign w:val="center"/>
          </w:tcPr>
          <w:p w14:paraId="381ED113">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4921C625">
        <w:tblPrEx>
          <w:tblCellMar>
            <w:top w:w="0" w:type="dxa"/>
            <w:left w:w="108" w:type="dxa"/>
            <w:bottom w:w="0" w:type="dxa"/>
            <w:right w:w="108" w:type="dxa"/>
          </w:tblCellMar>
        </w:tblPrEx>
        <w:trPr>
          <w:trHeight w:val="567" w:hRule="exact"/>
          <w:jc w:val="center"/>
        </w:trPr>
        <w:tc>
          <w:tcPr>
            <w:tcW w:w="4201" w:type="dxa"/>
            <w:noWrap w:val="0"/>
            <w:vAlign w:val="center"/>
          </w:tcPr>
          <w:p w14:paraId="3CA299B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noWrap w:val="0"/>
            <w:vAlign w:val="center"/>
          </w:tcPr>
          <w:p w14:paraId="28B6A22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1D467A8A">
        <w:tblPrEx>
          <w:tblCellMar>
            <w:top w:w="0" w:type="dxa"/>
            <w:left w:w="108" w:type="dxa"/>
            <w:bottom w:w="0" w:type="dxa"/>
            <w:right w:w="108" w:type="dxa"/>
          </w:tblCellMar>
        </w:tblPrEx>
        <w:trPr>
          <w:trHeight w:val="567" w:hRule="exact"/>
          <w:jc w:val="center"/>
        </w:trPr>
        <w:tc>
          <w:tcPr>
            <w:tcW w:w="4201" w:type="dxa"/>
            <w:noWrap w:val="0"/>
            <w:vAlign w:val="center"/>
          </w:tcPr>
          <w:p w14:paraId="32092AEA">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noWrap w:val="0"/>
            <w:vAlign w:val="center"/>
          </w:tcPr>
          <w:p w14:paraId="48B74B7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2E0F058F">
        <w:tblPrEx>
          <w:tblCellMar>
            <w:top w:w="0" w:type="dxa"/>
            <w:left w:w="108" w:type="dxa"/>
            <w:bottom w:w="0" w:type="dxa"/>
            <w:right w:w="108" w:type="dxa"/>
          </w:tblCellMar>
        </w:tblPrEx>
        <w:trPr>
          <w:trHeight w:val="567" w:hRule="exact"/>
          <w:jc w:val="center"/>
        </w:trPr>
        <w:tc>
          <w:tcPr>
            <w:tcW w:w="4201" w:type="dxa"/>
            <w:noWrap w:val="0"/>
            <w:vAlign w:val="center"/>
          </w:tcPr>
          <w:p w14:paraId="1BF2D78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noWrap w:val="0"/>
            <w:vAlign w:val="center"/>
          </w:tcPr>
          <w:p w14:paraId="4693EE1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0C675349"/>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AB9FA45-4D75-4027-B366-A0FE8A9097F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903A3E90-6B88-4607-967A-08CE39A2620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FangSong_GB2312">
    <w:altName w:val="仿宋_GB2312"/>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4582A"/>
    <w:rsid w:val="00AD6F4F"/>
    <w:rsid w:val="00B35765"/>
    <w:rsid w:val="00C65FC8"/>
    <w:rsid w:val="00CC3A78"/>
    <w:rsid w:val="00CE21B5"/>
    <w:rsid w:val="00CF6641"/>
    <w:rsid w:val="00E8712A"/>
    <w:rsid w:val="00EF3803"/>
    <w:rsid w:val="00F47186"/>
    <w:rsid w:val="00FA5ACA"/>
    <w:rsid w:val="00FC1B97"/>
    <w:rsid w:val="02680F16"/>
    <w:rsid w:val="06044D8E"/>
    <w:rsid w:val="071938B9"/>
    <w:rsid w:val="09146580"/>
    <w:rsid w:val="0CF24C32"/>
    <w:rsid w:val="0DA008CC"/>
    <w:rsid w:val="0EBB3568"/>
    <w:rsid w:val="0EC60B07"/>
    <w:rsid w:val="10332904"/>
    <w:rsid w:val="10CF4970"/>
    <w:rsid w:val="10F63A27"/>
    <w:rsid w:val="119A3E39"/>
    <w:rsid w:val="12154D3D"/>
    <w:rsid w:val="14561BE7"/>
    <w:rsid w:val="172B4FA4"/>
    <w:rsid w:val="192A37C4"/>
    <w:rsid w:val="198577DD"/>
    <w:rsid w:val="19966094"/>
    <w:rsid w:val="1BBA11A7"/>
    <w:rsid w:val="1CA80820"/>
    <w:rsid w:val="1D6E70FD"/>
    <w:rsid w:val="21665943"/>
    <w:rsid w:val="244871F4"/>
    <w:rsid w:val="25295AB7"/>
    <w:rsid w:val="274E2D73"/>
    <w:rsid w:val="27EF733B"/>
    <w:rsid w:val="292902AA"/>
    <w:rsid w:val="293840E8"/>
    <w:rsid w:val="29BB6BC2"/>
    <w:rsid w:val="2F1025C8"/>
    <w:rsid w:val="2FDC50AE"/>
    <w:rsid w:val="30104537"/>
    <w:rsid w:val="313868D1"/>
    <w:rsid w:val="325B49C3"/>
    <w:rsid w:val="326A7D77"/>
    <w:rsid w:val="33EF3E56"/>
    <w:rsid w:val="39094D4C"/>
    <w:rsid w:val="39DC5D59"/>
    <w:rsid w:val="3CCE5611"/>
    <w:rsid w:val="3CE71A85"/>
    <w:rsid w:val="412A6A1E"/>
    <w:rsid w:val="414032D5"/>
    <w:rsid w:val="49B513A8"/>
    <w:rsid w:val="4EC118A7"/>
    <w:rsid w:val="4F1C52C5"/>
    <w:rsid w:val="4F7D74A2"/>
    <w:rsid w:val="4FDA2485"/>
    <w:rsid w:val="54F63A8A"/>
    <w:rsid w:val="5C7E1FD1"/>
    <w:rsid w:val="5D3B49BA"/>
    <w:rsid w:val="60A9374B"/>
    <w:rsid w:val="60E414E6"/>
    <w:rsid w:val="61E5759F"/>
    <w:rsid w:val="62381ED1"/>
    <w:rsid w:val="62BA5ECF"/>
    <w:rsid w:val="678B7CBF"/>
    <w:rsid w:val="696F3399"/>
    <w:rsid w:val="734E36BE"/>
    <w:rsid w:val="741C09D0"/>
    <w:rsid w:val="74343D24"/>
    <w:rsid w:val="764F97C9"/>
    <w:rsid w:val="77CB499F"/>
    <w:rsid w:val="78C53A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tabs>
        <w:tab w:val="right" w:leader="dot" w:pos="9060"/>
      </w:tabs>
      <w:spacing w:line="360" w:lineRule="auto"/>
    </w:p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2137</Words>
  <Characters>2173</Characters>
  <Lines>12</Lines>
  <Paragraphs>3</Paragraphs>
  <TotalTime>0</TotalTime>
  <ScaleCrop>false</ScaleCrop>
  <LinksUpToDate>false</LinksUpToDate>
  <CharactersWithSpaces>2272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2025-07-10T07:02:31Z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