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版本号：OTXA-252003117620250710001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2025年网络与信息安全运维项目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OTXA-2520031176</w:t>
      </w:r>
      <w:r>
        <w:br/>
      </w:r>
      <w:r>
        <w:br/>
      </w:r>
      <w:r>
        <w:br/>
      </w:r>
    </w:p>
    <w:p>
      <w:pPr>
        <w:pStyle w:val="null3"/>
        <w:jc w:val="center"/>
        <w:outlineLvl w:val="2"/>
      </w:pPr>
      <w:r>
        <w:rPr>
          <w:rFonts w:ascii="仿宋_GB2312" w:hAnsi="仿宋_GB2312" w:cs="仿宋_GB2312" w:eastAsia="仿宋_GB2312"/>
          <w:sz w:val="28"/>
          <w:b/>
        </w:rPr>
        <w:t>西安市交通运输局（本级）</w:t>
      </w:r>
    </w:p>
    <w:p>
      <w:pPr>
        <w:pStyle w:val="null3"/>
        <w:jc w:val="center"/>
        <w:outlineLvl w:val="2"/>
      </w:pPr>
      <w:r>
        <w:rPr>
          <w:rFonts w:ascii="仿宋_GB2312" w:hAnsi="仿宋_GB2312" w:cs="仿宋_GB2312" w:eastAsia="仿宋_GB2312"/>
          <w:sz w:val="28"/>
          <w:b/>
        </w:rPr>
        <w:t>东方（西安）国际招标有限公司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东方（西安）国际招标有限公司</w:t>
      </w:r>
      <w:r>
        <w:rPr>
          <w:rFonts w:ascii="仿宋_GB2312" w:hAnsi="仿宋_GB2312" w:cs="仿宋_GB2312" w:eastAsia="仿宋_GB2312"/>
        </w:rPr>
        <w:t>（以下简称“代理机构”）受</w:t>
      </w:r>
      <w:r>
        <w:rPr>
          <w:rFonts w:ascii="仿宋_GB2312" w:hAnsi="仿宋_GB2312" w:cs="仿宋_GB2312" w:eastAsia="仿宋_GB2312"/>
        </w:rPr>
        <w:t>西安市交通运输局（本级）</w:t>
      </w:r>
      <w:r>
        <w:rPr>
          <w:rFonts w:ascii="仿宋_GB2312" w:hAnsi="仿宋_GB2312" w:cs="仿宋_GB2312" w:eastAsia="仿宋_GB2312"/>
        </w:rPr>
        <w:t>委托，拟对</w:t>
      </w:r>
      <w:r>
        <w:rPr>
          <w:rFonts w:ascii="仿宋_GB2312" w:hAnsi="仿宋_GB2312" w:cs="仿宋_GB2312" w:eastAsia="仿宋_GB2312"/>
        </w:rPr>
        <w:t>2025年网络与信息安全运维项目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OTXA-2520031176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2025年网络与信息安全运维项目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2025年网络与信息安全运维项目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采购包1（网络与信息安全服务）：属于专门面向中小企业采购。</w:t>
      </w:r>
    </w:p>
    <w:p>
      <w:pPr>
        <w:pStyle w:val="null3"/>
      </w:pPr>
      <w:r>
        <w:rPr>
          <w:rFonts w:ascii="仿宋_GB2312" w:hAnsi="仿宋_GB2312" w:cs="仿宋_GB2312" w:eastAsia="仿宋_GB2312"/>
        </w:rPr>
        <w:t>采购包2（ 数据安全服务）：属于专门面向中小企业采购。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西安市交通运输局（本级）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西安市凤城八路109号市行政中心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029-86787340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东方（西安）国际招标有限公司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西安市太白南路181号西部电子社区A座A区208-1室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李小艺、孙翊轩、张强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029-89585662转805/806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采购包1：290,798.00元</w:t>
            </w:r>
          </w:p>
          <w:p>
            <w:pPr>
              <w:pStyle w:val="null3"/>
            </w:pPr>
            <w:r>
              <w:rPr>
                <w:rFonts w:ascii="仿宋_GB2312" w:hAnsi="仿宋_GB2312" w:cs="仿宋_GB2312" w:eastAsia="仿宋_GB2312"/>
              </w:rPr>
              <w:t>采购包2：624,428.00元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代理服务费收费标准：代理服务费的金额参照国家发展计划委员会计价格[2002]1980号文件的规定标准计算。不足5000元按5000元收取。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西安市交通运输局（本级）</w:t>
      </w:r>
      <w:r>
        <w:rPr>
          <w:rFonts w:ascii="仿宋_GB2312" w:hAnsi="仿宋_GB2312" w:cs="仿宋_GB2312" w:eastAsia="仿宋_GB2312"/>
        </w:rPr>
        <w:t>和</w:t>
      </w:r>
      <w:r>
        <w:rPr>
          <w:rFonts w:ascii="仿宋_GB2312" w:hAnsi="仿宋_GB2312" w:cs="仿宋_GB2312" w:eastAsia="仿宋_GB2312"/>
        </w:rPr>
        <w:t>东方（西安）国际招标有限公司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西安市交通运输局（本级）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东方（西安）国际招标有限公司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西安市交通运输局（本级）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东方（西安）国际招标有限公司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满足磋商文件要求。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联系人：李小艺、孙翊轩、张强</w:t>
      </w:r>
    </w:p>
    <w:p>
      <w:pPr>
        <w:pStyle w:val="null3"/>
      </w:pPr>
      <w:r>
        <w:rPr>
          <w:rFonts w:ascii="仿宋_GB2312" w:hAnsi="仿宋_GB2312" w:cs="仿宋_GB2312" w:eastAsia="仿宋_GB2312"/>
        </w:rPr>
        <w:t>联系电话：029-89585662转805/806</w:t>
      </w:r>
    </w:p>
    <w:p>
      <w:pPr>
        <w:pStyle w:val="null3"/>
      </w:pPr>
      <w:r>
        <w:rPr>
          <w:rFonts w:ascii="仿宋_GB2312" w:hAnsi="仿宋_GB2312" w:cs="仿宋_GB2312" w:eastAsia="仿宋_GB2312"/>
        </w:rPr>
        <w:t>地址：西安市太白南路181号西部电子社区A座A区208-1室</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2025年网络与信息安全运维项目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290,798.00</w:t>
      </w:r>
    </w:p>
    <w:p>
      <w:pPr>
        <w:pStyle w:val="null3"/>
      </w:pPr>
      <w:r>
        <w:rPr>
          <w:rFonts w:ascii="仿宋_GB2312" w:hAnsi="仿宋_GB2312" w:cs="仿宋_GB2312" w:eastAsia="仿宋_GB2312"/>
        </w:rPr>
        <w:t>采购包最高限价（元）: 290,798.00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网络信息安全服务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290,798.00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624,428.00</w:t>
      </w:r>
    </w:p>
    <w:p>
      <w:pPr>
        <w:pStyle w:val="null3"/>
      </w:pPr>
      <w:r>
        <w:rPr>
          <w:rFonts w:ascii="仿宋_GB2312" w:hAnsi="仿宋_GB2312" w:cs="仿宋_GB2312" w:eastAsia="仿宋_GB2312"/>
        </w:rPr>
        <w:t>采购包最高限价（元）: 624,428.00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数据安全服务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624,428.00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标的名称：网络信息安全服务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一、网络安全咨询服务</w:t>
            </w:r>
          </w:p>
          <w:p>
            <w:pPr>
              <w:pStyle w:val="null3"/>
            </w:pPr>
            <w:r>
              <w:rPr>
                <w:rFonts w:ascii="仿宋_GB2312" w:hAnsi="仿宋_GB2312" w:cs="仿宋_GB2312" w:eastAsia="仿宋_GB2312"/>
              </w:rPr>
              <w:t>根据市交通运输局的实际情况，依据网络安全相关法律法规、条例、行业指导文件等要求，协助市交通运输局梳理相关信息资产、业务流程、人员协作等，帮助市交通运输局构建一个“技术+管理”的双轮驱动安全体系，实现技术与管理的无缝衔接，为市交通运输局提供量身定制的网络安全相关咨询方案，从而使市交通运输局能够在日常安全管理中降低网络安全风险隐患，提高整体安全防护水平，提升整体安全保障能力。全年服务工作量不少于10人天，并提供有效交付物。</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二、网络安全管理规范建设服务</w:t>
            </w:r>
          </w:p>
          <w:p>
            <w:pPr>
              <w:pStyle w:val="null3"/>
            </w:pPr>
            <w:r>
              <w:rPr>
                <w:rFonts w:ascii="仿宋_GB2312" w:hAnsi="仿宋_GB2312" w:cs="仿宋_GB2312" w:eastAsia="仿宋_GB2312"/>
              </w:rPr>
              <w:t>根据《中华人民共和国网络安全法》《中华人民共和国数据安全法》《党委（党组）网络安全工作责任制实施办法》等相关法律法规及政策的要求，协助市交通运输局建立、完善网络安全管理机构、具体工作职能部门和岗位；帮助市交通运输局制定各项管理政策、网络安全类相关制度、表单等，讨论解决安全管理中的重大问题；协助市交通运输局构建并完善网络安全管理体系。全年服务工作量不少于15人天，并提供有效交付物。</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三、网络安全培训教育服务</w:t>
            </w:r>
          </w:p>
          <w:p>
            <w:pPr>
              <w:pStyle w:val="null3"/>
            </w:pPr>
            <w:r>
              <w:rPr>
                <w:rFonts w:ascii="仿宋_GB2312" w:hAnsi="仿宋_GB2312" w:cs="仿宋_GB2312" w:eastAsia="仿宋_GB2312"/>
              </w:rPr>
              <w:t>按照网络安全相关的培训体系或定制的课程内容，向市交通运输局提供网络安全相关的宣传、教育、培训服务，帮助广大干部职工理解网络安全的重要性，使大家掌握各类网络安全技术与防范措施，以应对不断变化的网络安全挑战，从而增强大家的网络安全意识，提升网络安全防护技能。全年服务工作量不少于4人天，并提供有效交付物。</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四、网络安全加固服务</w:t>
            </w:r>
          </w:p>
          <w:p>
            <w:pPr>
              <w:pStyle w:val="null3"/>
            </w:pPr>
            <w:r>
              <w:rPr>
                <w:rFonts w:ascii="仿宋_GB2312" w:hAnsi="仿宋_GB2312" w:cs="仿宋_GB2312" w:eastAsia="仿宋_GB2312"/>
              </w:rPr>
              <w:t>主要对主机系统的脆弱性及其面临的问题进行分析和修补，同时包括了对系统的身份鉴别与认证、访问控制和审计跟踪策略的增强，在尽量不影响加固对象原有功能和性能的基础上,解决在安全评估中发现的安全问题,修补其中存在的漏洞和问题。每半年一次，全年服务工作量不少于12人天，并提供有效交付物。</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五、网络安全巡检服务</w:t>
            </w:r>
          </w:p>
          <w:p>
            <w:pPr>
              <w:pStyle w:val="null3"/>
            </w:pPr>
            <w:r>
              <w:rPr>
                <w:rFonts w:ascii="仿宋_GB2312" w:hAnsi="仿宋_GB2312" w:cs="仿宋_GB2312" w:eastAsia="仿宋_GB2312"/>
              </w:rPr>
              <w:t>主要对主机系统进行定期巡检，通过定期检测及时发现系统存在的各种安全隐患，以及系统运行状态，同时对系统事件进行审计和日志分析，检查策略是否有效，配置是否安全，是否有可疑安全事件发生，必要时进行安全策略的调整和优化。每季度一次，全年服务工作量不少于48人天，并提供有效交付物。</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六、网络安全应急响应服务</w:t>
            </w:r>
          </w:p>
          <w:p>
            <w:pPr>
              <w:pStyle w:val="null3"/>
            </w:pPr>
            <w:r>
              <w:rPr>
                <w:rFonts w:ascii="仿宋_GB2312" w:hAnsi="仿宋_GB2312" w:cs="仿宋_GB2312" w:eastAsia="仿宋_GB2312"/>
              </w:rPr>
              <w:t>当发生各类网络安全事件时，第一时间提供应急响应和处置服务，及时采取有效的应对措施，控制安全事件造成的影响范围，缩小损失，排查问题来源，确保业务系统恢复正常，保障业务连续性。全年服务工作量不少于20人天，并提供有效交付物。</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七、重保支撑服务</w:t>
            </w:r>
          </w:p>
          <w:p>
            <w:pPr>
              <w:pStyle w:val="null3"/>
            </w:pPr>
            <w:r>
              <w:rPr>
                <w:rFonts w:ascii="仿宋_GB2312" w:hAnsi="仿宋_GB2312" w:cs="仿宋_GB2312" w:eastAsia="仿宋_GB2312"/>
              </w:rPr>
              <w:t>根据现有的实际情况，在国家重大政治活动和节假日期间，针对可能发生的网络安全威胁，提供相应的技术防护服务，避免因网络安全事件导致系统瘫痪、服务中断等，从而确保业务系统安全可靠运行。全年服务工作量不少于12人天，并提供有效交付物。</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八、应急预案及演练服务</w:t>
            </w:r>
          </w:p>
          <w:p>
            <w:pPr>
              <w:pStyle w:val="null3"/>
            </w:pPr>
            <w:r>
              <w:rPr>
                <w:rFonts w:ascii="仿宋_GB2312" w:hAnsi="仿宋_GB2312" w:cs="仿宋_GB2312" w:eastAsia="仿宋_GB2312"/>
              </w:rPr>
              <w:t>协助市交通运输局编制网络安全应急预案，然后通过开展应急演练检验相关人员在应对网络安全突发事件的组织指挥和应急处理能力，分析演练中暴露的问题，不断修订完善应急预案，提升网络安全应急处置水平，确保在面对突发网络安全事件时能够迅速、有效地响应，将损失降到最低，保障业务的连续性和稳定性。修订有效的应急预案一次，根据应急预案开展应急演练工作两次，全年服务工作量不少于20人天，并提供有效交付物。</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九、配合检查服务</w:t>
            </w:r>
          </w:p>
          <w:p>
            <w:pPr>
              <w:pStyle w:val="null3"/>
            </w:pPr>
            <w:r>
              <w:rPr>
                <w:rFonts w:ascii="仿宋_GB2312" w:hAnsi="仿宋_GB2312" w:cs="仿宋_GB2312" w:eastAsia="仿宋_GB2312"/>
              </w:rPr>
              <w:t>配合市交通运输局做好网络安全的相关检查工作，如上级主管部门、监管部门的网络安全检查，然后针对检查中发现的问题配合市交通运输局进行整改和处置，提升网络安全合规水平。全年服务工作量不少于10人天，并提供有效交付物。</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十、网络安全攻击监测服务</w:t>
            </w:r>
          </w:p>
          <w:p>
            <w:pPr>
              <w:pStyle w:val="null3"/>
            </w:pPr>
            <w:r>
              <w:rPr>
                <w:rFonts w:ascii="仿宋_GB2312" w:hAnsi="仿宋_GB2312" w:cs="仿宋_GB2312" w:eastAsia="仿宋_GB2312"/>
              </w:rPr>
              <w:t>通过已有的安全监测预警平台对业务系统进行安全监测，协助市交通运输局对安全监测情况进行人工分析，及时发现和掌握西安市交通运输局的 13 个业务系统的网络安全态势，一旦发现异常及时采取相关安全措施进行防御。全年服务工作量不少于30人天，并提供有效交付物。</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十一、 网络安全风险评估服务</w:t>
            </w:r>
          </w:p>
          <w:p>
            <w:pPr>
              <w:pStyle w:val="null3"/>
            </w:pPr>
            <w:r>
              <w:rPr>
                <w:rFonts w:ascii="仿宋_GB2312" w:hAnsi="仿宋_GB2312" w:cs="仿宋_GB2312" w:eastAsia="仿宋_GB2312"/>
              </w:rPr>
              <w:t>全面了解西安市交通运输局的 13 个业务系统安全状况，及时发现潜在的安全隐患和漏洞，采取针对性的措施进行修复和加固，从而有效提升整体安全防护水平，降低安全事件发生的概率。清晰识别业务系统目前所面临的关键风险，能够根据风险的严重程度和影响范围，合理分配安全资源，避免不必要的安全投入，识别可能影响业务正常运行的安全风险，提前制定应对策略，降低安全事件对业务的影响，确保业务的连续性和稳定性。每系统每半年一次，全年服务工作量不少于90人天，并提供有效交付物。</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十二、网络安全日志分析服务</w:t>
            </w:r>
          </w:p>
          <w:p>
            <w:pPr>
              <w:pStyle w:val="null3"/>
            </w:pPr>
            <w:r>
              <w:rPr>
                <w:rFonts w:ascii="仿宋_GB2312" w:hAnsi="仿宋_GB2312" w:cs="仿宋_GB2312" w:eastAsia="仿宋_GB2312"/>
              </w:rPr>
              <w:t>全面监控西安市交通运输局的 13 个业务系统的运行状态，通过深入分析业务系统的日志数据，发现潜在的安全风险、异常行为或违规操作，及时采取措施防范安全威胁，从而保障业务系统的安全性和合规性，保护业务数据资产，并满足相关法规和政策的要求。每系统每月一次，全年服务工作量不少于48人天，并提供有效交付物。</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十三、网络安全检查服务</w:t>
            </w:r>
          </w:p>
          <w:p>
            <w:pPr>
              <w:pStyle w:val="null3"/>
            </w:pPr>
            <w:r>
              <w:rPr>
                <w:rFonts w:ascii="仿宋_GB2312" w:hAnsi="仿宋_GB2312" w:cs="仿宋_GB2312" w:eastAsia="仿宋_GB2312"/>
              </w:rPr>
              <w:t>依据网络安全相关法律法规、国家标准等相关要求，协助市交通运输局对下属单位进行网络安全检查，针对检查后发现的问题提出相关的整改意见和建议，并协助各下属单位进行整改。每季度一次，全年服务工作量不少于36人天，并提供有效交付物。</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十四、网络安全风险通报服务</w:t>
            </w:r>
          </w:p>
          <w:p>
            <w:pPr>
              <w:pStyle w:val="null3"/>
            </w:pPr>
            <w:r>
              <w:rPr>
                <w:rFonts w:ascii="仿宋_GB2312" w:hAnsi="仿宋_GB2312" w:cs="仿宋_GB2312" w:eastAsia="仿宋_GB2312"/>
              </w:rPr>
              <w:t>通过整合国家预警中心风险通告、漏洞公告、恶意IP、钓鱼攻击等多源威胁情报，结合西安市交通运输局业务特征进行关联分析，解读高级威胁风险，生成定制化安全风向通报，有效降低业务中断风险，满足等保2.0、网络安全法等合规要求，为西安市交通运输局构建“监测-研判-处置-复盘”的闭环安全运营能力。全年服务工作量不少于10人天，并提供有效交付物。</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十五、资料输出服务</w:t>
            </w:r>
          </w:p>
          <w:p>
            <w:pPr>
              <w:pStyle w:val="null3"/>
            </w:pPr>
            <w:r>
              <w:rPr>
                <w:rFonts w:ascii="仿宋_GB2312" w:hAnsi="仿宋_GB2312" w:cs="仿宋_GB2312" w:eastAsia="仿宋_GB2312"/>
              </w:rPr>
              <w:t>根据提供的服务内容建立初始化资料库，建立初始化资料库（胶装版与资料册）：包括但不限于：网络安全指导类资料，网络拓扑类资料，网络及安全设备类详细资料。资料更新时，对资料册进行替换，服务期满时，更新胶装版资料。全年服务工作量不少于6人天，并提供有效交付物。</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标的名称：数据安全服务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一、数据安全咨询服务</w:t>
            </w:r>
          </w:p>
          <w:p>
            <w:pPr>
              <w:pStyle w:val="null3"/>
            </w:pPr>
            <w:r>
              <w:rPr>
                <w:rFonts w:ascii="仿宋_GB2312" w:hAnsi="仿宋_GB2312" w:cs="仿宋_GB2312" w:eastAsia="仿宋_GB2312"/>
              </w:rPr>
              <w:t>为西安市交通运输局提供系统性安全能力提升服务，通过系统化方法识别潜在威胁与合规差距，并依据《数据安全法》《个人信息保护法》等法规要求，提供针对性的数据安全专业建议与解决方案。同时针对国家新出台的法律法规、行业要求，及时解读并协助制定落地计划，帮助构建数据安全战略规划与长效治理体系，提升整体安全防护能力。全年服务工作量不少于30人天，并提供有效交付物。</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二、数据安全管理规范建设服务</w:t>
            </w:r>
          </w:p>
          <w:p>
            <w:pPr>
              <w:pStyle w:val="null3"/>
            </w:pPr>
            <w:r>
              <w:rPr>
                <w:rFonts w:ascii="仿宋_GB2312" w:hAnsi="仿宋_GB2312" w:cs="仿宋_GB2312" w:eastAsia="仿宋_GB2312"/>
              </w:rPr>
              <w:t>依据国家相关法律法规、行业标准针对西安市交通运输局数据安全进行管理制度和规范的设计，整体覆盖数据的全生命周期，从而建立单位内部制度规范去约束和规范相关人员开展日常工作，并赋予管理人员监督管理职责。制度流程需要从组织层面整体考虑和设计，并形成体系框架。制度体系需要分层，层与层之间，同一层不同模块之间需要有关联逻辑，在内容上不能重复或矛盾。所设计的制度体系结构分为四级：一级文件：包含方针、策略、基本原则和总的管理要求；二级文件：包含安全管理制度和办法；三级文件：包含操作流程、规范、作业指导书或指南及配套模板文件等；四级文件：包含表格、报告、各种运行/检查记录、日志文件等。规范建设完成后，应根据“计划-实施-检查-优化”工作方法，协助西安市交通运输局完成数据安全管理规范落实工作，从而在数据安全管理工作中形成闭环，有力提升西安市交通运输局数据安全管理水平。全年服务工作量不少于40人天，并提供有效交付物。</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三、数据资产梳理服务</w:t>
            </w:r>
          </w:p>
          <w:p>
            <w:pPr>
              <w:pStyle w:val="null3"/>
            </w:pPr>
            <w:r>
              <w:rPr>
                <w:rFonts w:ascii="仿宋_GB2312" w:hAnsi="仿宋_GB2312" w:cs="仿宋_GB2312" w:eastAsia="仿宋_GB2312"/>
              </w:rPr>
              <w:t>本项服务即对西安市交通运输局的 13 个业务系统所涉及的数据资产进行定期清点，以确定各种数据资产的实存数，包括但不限于数据量、数据类型、数据价值、数据分布、数据存储位置、数据的归属和责任人等。同时形成数据资产清单或数据资产目录，从而全面直观的展现单位所拥有的数据资产情况，帮助单位进行更有效的数据利用和管理，明确单位的数据保护目标。全年服务工作量不少于90人天，并提供有效交付物。</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四、数据资产分类分级</w:t>
            </w:r>
          </w:p>
          <w:p>
            <w:pPr>
              <w:pStyle w:val="null3"/>
            </w:pPr>
            <w:r>
              <w:rPr>
                <w:rFonts w:ascii="仿宋_GB2312" w:hAnsi="仿宋_GB2312" w:cs="仿宋_GB2312" w:eastAsia="仿宋_GB2312"/>
              </w:rPr>
              <w:t>针对西安市交通运输局的数据安全保障工作，以相关标准为重要参考依据，对西安市交通运输局的 13 个业务系统所涉及的数据以及相关衍生数据展开全面、细致的清点工作。基于所形成的数据资产清单或资产目录，深入开展西安市交通运输局的13 个业务系统的数据分类分级工作。通过严谨的分类分级，明确不同数据的重要程度与敏感级别，为制定差异化、针对性的数据保护策略提供有力支撑。最终形成交通行业数据分类分级清单，该清单将成为市交通局在数据安全管理领域的核心指南，确保各类数据在合法合规的前提下得到充分保护与合理利用，推动交通运输行业的数字化转型与可持续发展。全年服务工作量不少于170人天，并提供有效交付物。</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五、数据安全风险评估服务</w:t>
            </w:r>
          </w:p>
          <w:p>
            <w:pPr>
              <w:pStyle w:val="null3"/>
            </w:pPr>
            <w:r>
              <w:rPr>
                <w:rFonts w:ascii="仿宋_GB2312" w:hAnsi="仿宋_GB2312" w:cs="仿宋_GB2312" w:eastAsia="仿宋_GB2312"/>
              </w:rPr>
              <w:t>本次服务内容中的数据安全风险评估工作，旨在对西安市交通运输局的 13 个业务系统进行详细的数据安全风险评估。以主动识别潜在安全风险为目标，基于合规要求与行业实践，通过科学方法对组织数据资产的全生命周期（采集、存储、传输、使用、加工、处理、销毁）进行系统性评估的服务。通过文档查阅、安全核查、人员访谈、技术检测等手段，从管理、技术、应用等多维度识别数据资产面临的威胁（如数据泄露、篡改、丢失等）及脆弱性，并结合数据价值、风险严重程度、安全措施有效性等因素，综合计算风险值并判定风险等级（高、中、低）。服务输出的相关文档帮助西安市交通运输局明确合规差距、优化防护策略，并提出针对性的数据安全工作落地方案。通过持续的风险监控与策略优化，服务助力西安市交通运输局构建动态的数据安全管理体系，降低数据泄露、篡改或丢失风险，确保业务连续性及合规性，提升整体安全防护能力。每半年一次，全年服务工作量不少于210人天，并提供有效交付物。</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六、数据安全支撑服务</w:t>
            </w:r>
          </w:p>
          <w:p>
            <w:pPr>
              <w:pStyle w:val="null3"/>
            </w:pPr>
            <w:r>
              <w:rPr>
                <w:rFonts w:ascii="仿宋_GB2312" w:hAnsi="仿宋_GB2312" w:cs="仿宋_GB2312" w:eastAsia="仿宋_GB2312"/>
              </w:rPr>
              <w:t>针对西安市交通运输局的 13 个业务系统，通过相关技术实现服务器或硬盘数据的即时镜像捕获，设置全量、增量、差异等多种备份模式，确保数据达到系统设计的RTO(恢复时间目标)和RPO(恢复点目标)。定期进行数据备份巡检工作，确保备份数据有效、完整。注：如无法满足西安市交通运输局实际需求，服务方应免费提供合法合规且适配的备份工具。每季度一次，全年服务工作量不少于84人天，并提供有效交付物。</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七、数据恢复演练服务</w:t>
            </w:r>
          </w:p>
          <w:p>
            <w:pPr>
              <w:pStyle w:val="null3"/>
            </w:pPr>
            <w:r>
              <w:rPr>
                <w:rFonts w:ascii="仿宋_GB2312" w:hAnsi="仿宋_GB2312" w:cs="仿宋_GB2312" w:eastAsia="仿宋_GB2312"/>
              </w:rPr>
              <w:t>为提升数据安全保障能力，有效应对可能出现的数据丢失、损坏等突发状况，确保重要业务系统的稳定运行与数据的完整性，组织开展数据恢复演练工作。通过模拟各类复杂的数据丢失场景，如系统故障、人为误操作以及网络攻击引发的数据丢失等，全面检验数据备份与恢复机制的有效性。注：如无法满足西安市交通运输局实际需求，服务方应免费提供合法合规且适配的备份工具。每季度一次，全年服务工作量不少于84人天，并提供有效交付物。</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八、数据安全宣教培服务</w:t>
            </w:r>
          </w:p>
          <w:p>
            <w:pPr>
              <w:pStyle w:val="null3"/>
            </w:pPr>
            <w:r>
              <w:rPr>
                <w:rFonts w:ascii="仿宋_GB2312" w:hAnsi="仿宋_GB2312" w:cs="仿宋_GB2312" w:eastAsia="仿宋_GB2312"/>
              </w:rPr>
              <w:t>提供国家网络安全周数据安全宣传及支持服务，提供数据安全培训工作(安全意识和技能各1次)，全方位地帮助西安市交通运输局提高数据安全意识和技能，从而有效防范和应对各类错综复杂的数据安全威胁。要求：网安周活动宣传彩页不少于500份；宣传展板（x展架、移动展架等）不少于8套；宣传海报不少于50份；提供技术人员配合交通局开展数据安全宣传活动并提供活动支持物资不少于150份；提供数据安全意识培训1次，技能培训1次。全年服务工作量不少于5人天，并提供有效交付物。</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九、数据安全检查服务</w:t>
            </w:r>
          </w:p>
          <w:p>
            <w:pPr>
              <w:pStyle w:val="null3"/>
            </w:pPr>
            <w:r>
              <w:rPr>
                <w:rFonts w:ascii="仿宋_GB2312" w:hAnsi="仿宋_GB2312" w:cs="仿宋_GB2312" w:eastAsia="仿宋_GB2312"/>
              </w:rPr>
              <w:t>本服务则是协助西安市交通运输局开展数据安全检查工作，该服务将结合数据安全专业团队，运用检查工具和方法，对西安市交通运输局及直属机构的数据安全体系进行全面的检查。检查范围将包括其信息系统的安全性、数据存储设施的可靠性、数据传输通道的保密性，以及内部数据处理流程的规范性等多个方面。将依据行业最佳实践和相关法规要求，详细梳理西安市交通运输局在数据安全方面的现状，查找可能存在的薄弱环节和潜在风险点。同时应配合上级主管部门、监管部门的数据安全检查工作，提供全方位的支持服务，包括协助准备迎检资料，确保资料的完整性和准确性，使迎检资料能够清晰地展现西安市交通运输局在数据安全方面的工作成果、遵循的法律法规以及所采取的各项数据安全措施，并提供迎检培训，帮助相关人员熟悉检查流程和要求。检查服务每季度一次，全年服务工作量不少于120人天，并提供有效交付物。迎检服务全年服务工作量不少于6人天，并提供有效交付物。</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十、政务数据共享安全管理服务</w:t>
            </w:r>
          </w:p>
          <w:p>
            <w:pPr>
              <w:pStyle w:val="null3"/>
            </w:pPr>
            <w:r>
              <w:rPr>
                <w:rFonts w:ascii="仿宋_GB2312" w:hAnsi="仿宋_GB2312" w:cs="仿宋_GB2312" w:eastAsia="仿宋_GB2312"/>
              </w:rPr>
              <w:t>依据《政务数据共享条例》结合西安市交通运输局政务数据共享实际情况，遵循统筹协调、标准统一、依法共享、合理使用、安全可控的原则，对所共享的政务数据实行有效管理，确保所共享政务数据既保障了数据的高效共享利用，又确保了数据在共享过程中的安全性和合规性。全年服务工作量不少于10人天，并提供有效交付物。</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十一、资料输出服务</w:t>
            </w:r>
          </w:p>
          <w:p>
            <w:pPr>
              <w:pStyle w:val="null3"/>
            </w:pPr>
            <w:r>
              <w:rPr>
                <w:rFonts w:ascii="仿宋_GB2312" w:hAnsi="仿宋_GB2312" w:cs="仿宋_GB2312" w:eastAsia="仿宋_GB2312"/>
              </w:rPr>
              <w:t>在项目合同到期前对所有服务的交付物进行汇总和整理，按照不同的服务内容进行归类汇总，然后形成电子版和胶装版的整体运维资料。全年服务工作量不少于10人天，并提供有效交付物。</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十二、其他服务</w:t>
            </w:r>
          </w:p>
          <w:p>
            <w:pPr>
              <w:pStyle w:val="null3"/>
            </w:pPr>
            <w:r>
              <w:rPr>
                <w:rFonts w:ascii="仿宋_GB2312" w:hAnsi="仿宋_GB2312" w:cs="仿宋_GB2312" w:eastAsia="仿宋_GB2312"/>
              </w:rPr>
              <w:t>1.每季度应提供安全季报一份。全年服务工作量不少于12人天，并提供有效交付物。</w:t>
            </w:r>
          </w:p>
          <w:p>
            <w:pPr>
              <w:pStyle w:val="null3"/>
            </w:pPr>
            <w:r>
              <w:rPr>
                <w:rFonts w:ascii="仿宋_GB2312" w:hAnsi="仿宋_GB2312" w:cs="仿宋_GB2312" w:eastAsia="仿宋_GB2312"/>
              </w:rPr>
              <w:t>2.按照相关法律法规要求，提供市交通局局办公环境安全服务，落实相关合规性工作并提供有效交付物，要求技术工程师现场驻场1人天/周。</w:t>
            </w:r>
          </w:p>
          <w:p>
            <w:pPr>
              <w:pStyle w:val="null3"/>
            </w:pPr>
            <w:r>
              <w:rPr>
                <w:rFonts w:ascii="仿宋_GB2312" w:hAnsi="仿宋_GB2312" w:cs="仿宋_GB2312" w:eastAsia="仿宋_GB2312"/>
              </w:rPr>
              <w:t>3.通过整合多源数据安全威胁情报，结合西安市交通运输局业务特征进行关联分析，解读高级威胁风险，生成定制化安全风险通报，有效降低业务中断风险，满足等保2.0、网络安全法等合规要求，为西安市交通运输局构建“监测-研判-处置-复盘”的闭环安全运营能力。全年服务工作量不少于10人天，并提供有效交付物。</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根据服务要求自主配置。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根据服务要求自主配置。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满足磋商文件要求。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满足磋商文件要求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合同签订生效后1年。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满足国家、行业相关要求。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满足国家、行业相关要求。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合同签订生效后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合同签订生效后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项目验收合格后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甲方所在地提起仲裁。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甲方所在地提起仲裁。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另行约定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1.1、具有独立承担民事责任能力的法人、其他组织或自然人，并出具合法有效的营业执照或事业单位法人证书等国家规定的相关证明，自然人参与的提供其身份证明； 1.2、法人代表授权书（原件）； 2、提供投标人2023年以来任意一年经审计的财务报表；/或基本账户开户行开具的银行资信证明/或财政部门认可的政府采购专业担保机构出具的投标担保函（以上三种形式的资料提供任何一种即可）； 3.1、依法缴纳税收的良好记录（提供截止至开标时间12个月内任一月份的缴费凭据或完税证明，依法免税的单位应提供相关证明材料）； 3.2、依法缴纳社会保障资金的良好记录（提供截止至开标时间12个月内任一月份的缴费凭据或社保机构开具的社会保险参保缴费情况证明，依法不需要缴纳社会保障资金的单位应提供相关证明材料）； 4、参加政府采购活动前3年内在经营活动中没有重大违法记录的书面声明（原件）； 5、供应商信用信息 5.1查询渠道：“信用中国”网站（www.creditchina.gov.vn）、中国政府采购网（www.ccgp.gov.vn）；以现场查询为准。 5.2 截止时点：谈判截止时间； 5.3 信用信息查询记录和证据留存的具体方式：网上查询结果打印。 5.4 信用信息的使用规则：凡在截止时点内，列入失信被执行人、重大税收违法案件当事人名单、政府采购严重违法失信行为记录名单的供应商，其谈判响应视为无效；联合体谈判时，联合体成员存在不良信用记录的，视同联合体存在不良信用记录，其谈判响应视为无效。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供应商无重大违法记录的书面声明格式.docx 陕西省政府采购供应商拒接政府采购领域商业贿赂承诺书.docx 供应商应提交的相关资格证明材料 响应函 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投标人2023年以来任意一年经审计的财务报表；/或基本账户开户行开具的银行资信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1.1、具有独立承担民事责任能力的法人、其他组织或自然人，并出具合法有效的营业执照或事业单位法人证书等国家规定的相关证明，自然人参与的提供其身份证明； 1.2、法人代表授权书（原件）； 2、提供投标人2023年以来任意一年经审计的财务报表；/或基本账户开户行开具的银行资信证明/或财政部门认可的政府采购专业担保机构出具的投标担保函（以上三种形式的资料提供任何一种即可）； 3.1、依法缴纳税收的良好记录（提供截止至开标时间12个月内任一月份的缴费凭据或完税证明，依法免税的单位应提供相关证明材料）； 3.2、依法缴纳社会保障资金的良好记录（提供截止至开标时间12个月内任一月份的缴费凭据或社保机构开具的社会保险参保缴费情况证明，依法不需要缴纳社会保障资金的单位应提供相关证明材料）； 4、参加政府采购活动前3年内在经营活动中没有重大违法记录的书面声明（原件）； 5、供应商信用信息 5.1查询渠道：“信用中国”网站（www.creditchina.gov.vn）、中国政府采购网（www.ccgp.gov.vn）；以现场查询为准。 5.2 截止时点：谈判截止时间； 5.3 信用信息查询记录和证据留存的具体方式：网上查询结果打印。 5.4 信用信息的使用规则：凡在截止时点内，列入失信被执行人、重大税收违法案件当事人名单、政府采购严重违法失信行为记录名单的供应商，其谈判响应视为无效；联合体谈判时，联合体成员存在不良信用记录的，视同联合体存在不良信用记录，其谈判响应视为无效。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供应商无重大违法记录的书面声明格式.docx 陕西省政府采购供应商拒接政府采购领域商业贿赂承诺书.docx 供应商应提交的相关资格证明材料 响应函 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投标人2023年以来任意一年经审计的财务报表；/或基本账户开户行开具的银行资信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服务要求响应程度</w:t>
            </w:r>
          </w:p>
        </w:tc>
        <w:tc>
          <w:tcPr>
            <w:tcW w:type="dxa" w:w="2492"/>
          </w:tcPr>
          <w:p>
            <w:pPr>
              <w:pStyle w:val="null3"/>
            </w:pPr>
            <w:r>
              <w:rPr>
                <w:rFonts w:ascii="仿宋_GB2312" w:hAnsi="仿宋_GB2312" w:cs="仿宋_GB2312" w:eastAsia="仿宋_GB2312"/>
              </w:rPr>
              <w:t>技术参数要求中一般项参数，此项得分=满足一般参数的数量/一般参数总数量*15，本项最高得15分； 注: （1）參数项以序号数字(如“1.”“2.”“3.”……)为一项，序号数字(如“1.”“2.”“3.”………)下有更小级序号的，以最小级序号为一项，序号指“1”“1)”等多级序号。 （2）本项评标因素根据技术规格响应表进行赋分。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安全服务技术方案</w:t>
            </w:r>
          </w:p>
        </w:tc>
        <w:tc>
          <w:tcPr>
            <w:tcW w:type="dxa" w:w="2492"/>
          </w:tcPr>
          <w:p>
            <w:pPr>
              <w:pStyle w:val="null3"/>
            </w:pPr>
            <w:r>
              <w:rPr>
                <w:rFonts w:ascii="仿宋_GB2312" w:hAnsi="仿宋_GB2312" w:cs="仿宋_GB2312" w:eastAsia="仿宋_GB2312"/>
              </w:rPr>
              <w:t>根据磋商响应文件提供的针对本项目的安全服务技术方案，方案内容涵盖本项目全部内容，至少包括①采购方需求解析；②工作目标；③政策法规的解读和理解；④整体进度计划安排；⑤服务标准等内容。 上述5方面内容中每有1项分析内容完整、与项目需求吻合全面、安排合理、有具体详细的闸述且符合项目要求的得3分，最高得15分；每缺少一项内容的扣3分，每有一处需求分析内容存在缺陷或不足的扣2分，扣完为止。 注：未提供安全服务技术方案相关材料，本项不得分。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根据磋商响应文件提供的针对本项目的质量保证方案，方案内容涵盖本项目全部内容，至少包括①质量目标；②保证服务质量满足采购需求的措施；③质量保证承诺等内容。 上述3方面内容中每有1项分析内容完整、与项目需求吻合全面、安排合理、有具体详细的闸述且符合项目要求的得3分，最高得9分；每缺少一项内容的扣3分，每有一处需求分析内容存在缺陷或不足的扣2分，扣完为止。 注：未提供质量保证方案相关材料，本项不得分。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根据磋商响应文件提供的针对本项目的应急方案，方案内容涵盖本项目全部内容，至少包括①拟会发生的应急情况详述；②应急工作流程；③应急解决方案等内容。 上述3方面内容中每有1项分析内容完整、与项目需求吻合全面、安排合理、有具体详细的闸述且符合项目要求的得2分，最高得6分；每缺少一项内容的扣2分，每有一处需求分析内容存在缺陷或不足的扣1分，扣完为止。 注：未提供应急方案方案相关材料，本项不得分。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根据磋商响应文件提供的针对本项目的团队人员方案，方案内容涵盖本项目全部内容，至少包括①人员岗位分配；②人员资质经验；③人员管理制度；④项目负责人等内容。 上述4方面内容中每有1项分析内容完整、与项目需求吻合全面、安排合理、有具体详细的闸述且符合项目要求的得3分，最高得12分；每缺少一项内容的扣3分，每有一处需求分析内容存在缺陷或不足的扣2分，扣完为止。 注：未提供团队人员方案相关材料，本项不得分。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根据磋商响应文件提供的针对本项目的售后服务及培训方案，方案内容涵盖本项目全部内容，至少包括①售后服务人员；②培训方案；③售后服务方案及承诺内容。 上述3方面内容中每有1项分析内容完整、与项目需求吻合全面、安排合理、有具体详细的闸述且符合项目要求的得3分，最高得9分；每缺少一项内容的扣3分，每有一处需求分析内容存在缺陷或不足的扣2分，扣完为止。 注：未提供售后服务及培训方案相关材料，本项不得分。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根据磋商响应文件所提供的服务承诺及合理化建议，包括但不限于①服务承诺内容；②合理化建议等内容。 上述2方面内容中每有1项分析内容完整、科学合理、有具体详细的闸述且符合项目要求的得2.5分，最高得5分；每缺少一项内容的扣2.5分，每有一处需求分析内容存在缺陷或不足的扣1分，扣完为止。 注：未提供服务承诺及合理化建议相关材料，本项不得分。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依据磋商响应文件提供的2022年1月1日起至今，磋商响应单位类似实施案例证明材料（以合同复印件为准，合同复印件至少含能反映采购内容页、双方签字盖章页等）每提供一份完整的业绩证明材料，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满足磋商文件商务条款得4分，一项不满足本项不得分。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最低评审价为评审基准价，得15分。 2.按（评审基准价/评审价×15）的公式计算价格得分。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服务要求响应程度</w:t>
            </w:r>
          </w:p>
        </w:tc>
        <w:tc>
          <w:tcPr>
            <w:tcW w:type="dxa" w:w="2492"/>
          </w:tcPr>
          <w:p>
            <w:pPr>
              <w:pStyle w:val="null3"/>
            </w:pPr>
            <w:r>
              <w:rPr>
                <w:rFonts w:ascii="仿宋_GB2312" w:hAnsi="仿宋_GB2312" w:cs="仿宋_GB2312" w:eastAsia="仿宋_GB2312"/>
              </w:rPr>
              <w:t>技术参数要求中一般项参数，此项得分=满足一般参数的数量/一般参数总数量*15，本项最高得15分； 注: （1）參数项以序号数字(如“1.”“2.”“3.”……)为一项，序号数字(如“1.”“2.”“3.”………)下有更小级序号的，以最小级序号为一项，序号指“1”“1)”等多级序号。 （2）本项评标因素根据技术规格响应表进行赋分。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安全服务技术方案</w:t>
            </w:r>
          </w:p>
        </w:tc>
        <w:tc>
          <w:tcPr>
            <w:tcW w:type="dxa" w:w="2492"/>
          </w:tcPr>
          <w:p>
            <w:pPr>
              <w:pStyle w:val="null3"/>
            </w:pPr>
            <w:r>
              <w:rPr>
                <w:rFonts w:ascii="仿宋_GB2312" w:hAnsi="仿宋_GB2312" w:cs="仿宋_GB2312" w:eastAsia="仿宋_GB2312"/>
              </w:rPr>
              <w:t>根据磋商响应文件提供的针对本项目的安全服务技术方案，方案内容涵盖本项目全部内容，至少包括①采购方需求解析；②工作目标；③政策法规的解读和理解；④整体进度计划安排；⑤服务标准等内容。 上述5方面内容中每有1项分析内容完整、与项目需求吻合全面、安排合理、有具体详细的闸述且符合项目要求的得3分，最高得15分；每缺少一项内容的扣3分，每有一处需求分析内容存在缺陷或不足的扣2分，扣完为止。 注：未提供安全服务技术方案相关材料，本项不得分。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根据磋商响应文件提供的针对本项目的质量保证方案，方案内容涵盖本项目全部内容，至少包括①质量目标；②保证服务质量满足采购需求的措施；③质量保证承诺等内容。 上述3方面内容中每有1项分析内容完整、与项目需求吻合全面、安排合理、有具体详细的闸述且符合项目要求的得3分，最高得9分；每缺少一项内容的扣3分，每有一处需求分析内容存在缺陷或不足的扣2分，扣完为止。 注：未提供质量保证方案相关材料，本项不得分。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根据磋商响应文件提供的针对本项目的应急方案，方案内容涵盖本项目全部内容，至少包括①拟会发生的应急情况详述；②应急工作流程；③应急解决方案等内容。 上述3方面内容中每有1项分析内容完整、与项目需求吻合全面、安排合理、有具体详细的闸述且符合项目要求的得2分，最高得6分；每缺少一项内容的扣2分，每有一处需求分析内容存在缺陷或不足的扣1分，扣完为止。 注：未提供应急方案相关材料，本项不得分。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根据磋商响应文件提供的针对本项目的团队人员方案，方案内容涵盖本项目全部内容，至少包括①人员岗位分配；②人员资质经验；③人员管理制度；④项目负责人等内容。 上述4方面内容中每有1项分析内容完整、与项目需求吻合全面、安排合理、有具体详细的闸述且符合项目要求的得3分，最高得12分；每缺少一项内容的扣3分，每有一处需求分析内容存在缺陷或不足的扣2分，扣完为止。 注：未提供团队人员方案相关材料，本项不得分。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售后服务及培训</w:t>
            </w:r>
          </w:p>
        </w:tc>
        <w:tc>
          <w:tcPr>
            <w:tcW w:type="dxa" w:w="2492"/>
          </w:tcPr>
          <w:p>
            <w:pPr>
              <w:pStyle w:val="null3"/>
            </w:pPr>
            <w:r>
              <w:rPr>
                <w:rFonts w:ascii="仿宋_GB2312" w:hAnsi="仿宋_GB2312" w:cs="仿宋_GB2312" w:eastAsia="仿宋_GB2312"/>
              </w:rPr>
              <w:t>根据磋商响应文件提供的针对本项目的售后服务及培训方案，方案内容涵盖本项目全部内容，至少包括①售后服务人员；②培训方案；③售后服务方案及承诺内容。 上述3方面内容中每有1项分析内容完整、与项目需求吻合全面、安排合理、有具体详细的闸述且符合项目要求的得3分，最高得9分；每缺少一项内容的扣3分，每有一处需求分析内容存在缺陷或不足的扣2分，扣完为止。 注：未提供售后服务及培训方案相关材料，本项不得分。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根据磋商响应文件所提供的服务承诺及合理化建议，包括但不限于①服务承诺内容；②合理化建议等内容。 上述2方面内容中每有1项分析内容完整、科学合理、有具体详细的闸述且符合项目要求的得2.5分，最高得5分；每缺少一项内容的扣2.5分，每有一处需求分析内容存在缺陷或不足的扣1分，扣完为止。 注：未提供服务承诺及合理化建议相关材料，本项不得分。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依据磋商响应文件提供的2022年1月1日起至今，磋商响应单位类似实施案例证明材料（以合同复印件为准，合同复印件至少含能反映采购内容页、双方签字盖章页等）每提供一份完整的业绩证明材料，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满足磋商文件商务条款得4分，一项不满足本项不得分。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最低评审价为评审基准价，得15分。 2.按（评审基准价/评审价×15）的公式计算价格得分。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详见附件：供应商无重大违法记录的书面声明格式.docx</w:t>
      </w:r>
    </w:p>
    <w:p>
      <w:pPr>
        <w:pStyle w:val="null3"/>
        <w:ind w:firstLine="960"/>
      </w:pPr>
      <w:r>
        <w:rPr>
          <w:rFonts w:ascii="仿宋_GB2312" w:hAnsi="仿宋_GB2312" w:cs="仿宋_GB2312" w:eastAsia="仿宋_GB2312"/>
        </w:rPr>
        <w:t>详见附件：陕西省政府采购供应商拒接政府采购领域商业贿赂承诺书.docx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详见附件：供应商无重大违法记录的书面声明格式.docx</w:t>
      </w:r>
    </w:p>
    <w:p>
      <w:pPr>
        <w:pStyle w:val="null3"/>
        <w:ind w:firstLine="960"/>
      </w:pPr>
      <w:r>
        <w:rPr>
          <w:rFonts w:ascii="仿宋_GB2312" w:hAnsi="仿宋_GB2312" w:cs="仿宋_GB2312" w:eastAsia="仿宋_GB2312"/>
        </w:rPr>
        <w:t>详见附件：陕西省政府采购供应商拒接政府采购领域商业贿赂承诺书.docx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详见附件：网络与信息安全运维项目合同.docx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