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版本号：SXZHZB2025-ZC019-CS20250708001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西安市公路水运建设工程生产安全事故应急预案采购项目(二次)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SXZHZB2025-ZC019-CS</w:t>
      </w:r>
      <w:r>
        <w:br/>
      </w:r>
      <w:r>
        <w:br/>
      </w:r>
      <w:r>
        <w:br/>
      </w:r>
    </w:p>
    <w:p>
      <w:pPr>
        <w:pStyle w:val="null3"/>
        <w:jc w:val="center"/>
        <w:outlineLvl w:val="2"/>
      </w:pPr>
      <w:r>
        <w:rPr>
          <w:rFonts w:ascii="仿宋_GB2312" w:hAnsi="仿宋_GB2312" w:cs="仿宋_GB2312" w:eastAsia="仿宋_GB2312"/>
          <w:sz w:val="28"/>
          <w:b/>
        </w:rPr>
        <w:t>西安市交通运输局（本级）</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西安市交通运输局（本级）</w:t>
      </w:r>
      <w:r>
        <w:rPr>
          <w:rFonts w:ascii="仿宋_GB2312" w:hAnsi="仿宋_GB2312" w:cs="仿宋_GB2312" w:eastAsia="仿宋_GB2312"/>
        </w:rPr>
        <w:t>委托，拟对</w:t>
      </w:r>
      <w:r>
        <w:rPr>
          <w:rFonts w:ascii="仿宋_GB2312" w:hAnsi="仿宋_GB2312" w:cs="仿宋_GB2312" w:eastAsia="仿宋_GB2312"/>
        </w:rPr>
        <w:t>西安市公路水运建设工程生产安全事故应急预案采购项目(二次)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SXZHZB2025-ZC019-CS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西安市公路水运建设工程生产安全事故应急预案采购项目(二次)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公路水运建设工程生产安全事故应急预案采购项目，主要包含编制西安市公路水运建设工程生产安全事故应急预案，通过论证评审，形成最终应急预案并向有关部门备案，进行应急预案培训、应急演练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采购包1（西安市公路水运建设工程生产安全事故应急预案采购项目）：属于专门面向中小企业采购。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未处于被责令停业或者财产被接管、冻结和破产状态。</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西安市交通运输局（本级）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陕西省西安市未央区凤城八路109号1号楼7层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029-86787351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说明：合同签订前，供应商须以银行转账或支票/汇票/本票或保函/保险的形式向采购人提交履约保证金。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代理服务费收费标准：固定金额5000.00元。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西安市交通运输局（本级）</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西安市交通运输局（本级）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西安市交通运输局（本级）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联系人：曹工</w:t>
      </w:r>
    </w:p>
    <w:p>
      <w:pPr>
        <w:pStyle w:val="null3"/>
      </w:pPr>
      <w:r>
        <w:rPr>
          <w:rFonts w:ascii="仿宋_GB2312" w:hAnsi="仿宋_GB2312" w:cs="仿宋_GB2312" w:eastAsia="仿宋_GB2312"/>
        </w:rPr>
        <w:t>联系电话：029-86252018（转805）</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路水运建设工程生产安全事故应急预案采购项目，主要包含编制西安市公路水运建设工程生产安全事故应急预案，通过论证评审，形成最终应急预案并向有关部门备案，进行应急预案培训、应急演练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西安市公路水运建设工程生产安全事故应急预案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标的名称：西安市公路水运建设工程生产安全事故应急预案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15"/>
              <w:jc w:val="both"/>
            </w:pPr>
            <w:r>
              <w:rPr>
                <w:rFonts w:ascii="仿宋_GB2312" w:hAnsi="仿宋_GB2312" w:cs="仿宋_GB2312" w:eastAsia="仿宋_GB2312"/>
                <w:sz w:val="21"/>
                <w:b/>
              </w:rPr>
              <w:t>一、应急预案编制：</w:t>
            </w:r>
          </w:p>
          <w:p>
            <w:pPr>
              <w:pStyle w:val="null3"/>
              <w:ind w:right="15"/>
              <w:jc w:val="both"/>
            </w:pPr>
            <w:r>
              <w:rPr>
                <w:rFonts w:ascii="仿宋_GB2312" w:hAnsi="仿宋_GB2312" w:cs="仿宋_GB2312" w:eastAsia="仿宋_GB2312"/>
                <w:sz w:val="21"/>
              </w:rPr>
              <w:t>1.组织开展行业领域调研、风险评估及应急资源调查，编制风险评估报告及应急资源调查报告；</w:t>
            </w:r>
          </w:p>
          <w:p>
            <w:pPr>
              <w:pStyle w:val="null3"/>
              <w:ind w:right="15"/>
              <w:jc w:val="both"/>
            </w:pPr>
            <w:r>
              <w:rPr>
                <w:rFonts w:ascii="仿宋_GB2312" w:hAnsi="仿宋_GB2312" w:cs="仿宋_GB2312" w:eastAsia="仿宋_GB2312"/>
                <w:sz w:val="21"/>
              </w:rPr>
              <w:t>2.依据下列等相关法律法规及技术文件要求，全面、认真细致地组织开展编制工作，遵循合法性、科学性、实用性、系统性等原则，完成部门级应急预案，落实专项应急预案和上位应急预案工作任务；</w:t>
            </w:r>
          </w:p>
          <w:p>
            <w:pPr>
              <w:pStyle w:val="null3"/>
              <w:ind w:right="15"/>
              <w:jc w:val="both"/>
            </w:pPr>
            <w:r>
              <w:rPr>
                <w:rFonts w:ascii="仿宋_GB2312" w:hAnsi="仿宋_GB2312" w:cs="仿宋_GB2312" w:eastAsia="仿宋_GB2312"/>
                <w:sz w:val="21"/>
              </w:rPr>
              <w:t>《生产安全事故条例》；</w:t>
            </w:r>
          </w:p>
          <w:p>
            <w:pPr>
              <w:pStyle w:val="null3"/>
              <w:ind w:right="15"/>
              <w:jc w:val="both"/>
            </w:pPr>
            <w:r>
              <w:rPr>
                <w:rFonts w:ascii="仿宋_GB2312" w:hAnsi="仿宋_GB2312" w:cs="仿宋_GB2312" w:eastAsia="仿宋_GB2312"/>
                <w:sz w:val="21"/>
              </w:rPr>
              <w:t>《生产安全事故报告和调查处理条例》；</w:t>
            </w:r>
          </w:p>
          <w:p>
            <w:pPr>
              <w:pStyle w:val="null3"/>
              <w:ind w:right="15"/>
              <w:jc w:val="both"/>
            </w:pPr>
            <w:r>
              <w:rPr>
                <w:rFonts w:ascii="仿宋_GB2312" w:hAnsi="仿宋_GB2312" w:cs="仿宋_GB2312" w:eastAsia="仿宋_GB2312"/>
                <w:sz w:val="21"/>
              </w:rPr>
              <w:t>《交通运输部公路水运工程生产安全事故应急预案》；</w:t>
            </w:r>
          </w:p>
          <w:p>
            <w:pPr>
              <w:pStyle w:val="null3"/>
              <w:ind w:right="15"/>
              <w:jc w:val="both"/>
            </w:pPr>
            <w:r>
              <w:rPr>
                <w:rFonts w:ascii="仿宋_GB2312" w:hAnsi="仿宋_GB2312" w:cs="仿宋_GB2312" w:eastAsia="仿宋_GB2312"/>
                <w:sz w:val="21"/>
              </w:rPr>
              <w:t>《陕西省突发事件总体应急预案》；</w:t>
            </w:r>
          </w:p>
          <w:p>
            <w:pPr>
              <w:pStyle w:val="null3"/>
              <w:ind w:right="15"/>
              <w:jc w:val="both"/>
            </w:pPr>
            <w:r>
              <w:rPr>
                <w:rFonts w:ascii="仿宋_GB2312" w:hAnsi="仿宋_GB2312" w:cs="仿宋_GB2312" w:eastAsia="仿宋_GB2312"/>
                <w:sz w:val="21"/>
              </w:rPr>
              <w:t>《陕西省公路交通突发事件应急预案》；</w:t>
            </w:r>
          </w:p>
          <w:p>
            <w:pPr>
              <w:pStyle w:val="null3"/>
              <w:ind w:right="15"/>
              <w:jc w:val="both"/>
            </w:pPr>
            <w:r>
              <w:rPr>
                <w:rFonts w:ascii="仿宋_GB2312" w:hAnsi="仿宋_GB2312" w:cs="仿宋_GB2312" w:eastAsia="仿宋_GB2312"/>
                <w:sz w:val="21"/>
              </w:rPr>
              <w:t>《陕西省交通运输厅公路水运工程生产安全事故应急预案</w:t>
            </w:r>
            <w:r>
              <w:rPr>
                <w:rFonts w:ascii="仿宋_GB2312" w:hAnsi="仿宋_GB2312" w:cs="仿宋_GB2312" w:eastAsia="仿宋_GB2312"/>
                <w:sz w:val="21"/>
              </w:rPr>
              <w:t>(试行)》；</w:t>
            </w:r>
          </w:p>
          <w:p>
            <w:pPr>
              <w:pStyle w:val="null3"/>
              <w:ind w:right="15"/>
              <w:jc w:val="both"/>
            </w:pPr>
            <w:r>
              <w:rPr>
                <w:rFonts w:ascii="仿宋_GB2312" w:hAnsi="仿宋_GB2312" w:cs="仿宋_GB2312" w:eastAsia="仿宋_GB2312"/>
                <w:sz w:val="21"/>
              </w:rPr>
              <w:t>《西安市突发事件总体应急预案》；</w:t>
            </w:r>
          </w:p>
          <w:p>
            <w:pPr>
              <w:pStyle w:val="null3"/>
              <w:ind w:right="15"/>
              <w:jc w:val="both"/>
            </w:pPr>
            <w:r>
              <w:rPr>
                <w:rFonts w:ascii="仿宋_GB2312" w:hAnsi="仿宋_GB2312" w:cs="仿宋_GB2312" w:eastAsia="仿宋_GB2312"/>
                <w:sz w:val="21"/>
              </w:rPr>
              <w:t>《西安市建设工程事故应急预案》；</w:t>
            </w:r>
          </w:p>
          <w:p>
            <w:pPr>
              <w:pStyle w:val="null3"/>
              <w:ind w:right="15"/>
              <w:jc w:val="both"/>
            </w:pPr>
            <w:r>
              <w:rPr>
                <w:rFonts w:ascii="仿宋_GB2312" w:hAnsi="仿宋_GB2312" w:cs="仿宋_GB2312" w:eastAsia="仿宋_GB2312"/>
                <w:sz w:val="21"/>
              </w:rPr>
              <w:t>《陕西省突发事件应急预案管理办法》；</w:t>
            </w:r>
          </w:p>
          <w:p>
            <w:pPr>
              <w:pStyle w:val="null3"/>
              <w:ind w:right="15"/>
              <w:jc w:val="both"/>
            </w:pPr>
            <w:r>
              <w:rPr>
                <w:rFonts w:ascii="仿宋_GB2312" w:hAnsi="仿宋_GB2312" w:cs="仿宋_GB2312" w:eastAsia="仿宋_GB2312"/>
                <w:sz w:val="21"/>
              </w:rPr>
              <w:t>《西安市突发事件应急预案管理办法》；</w:t>
            </w:r>
          </w:p>
          <w:p>
            <w:pPr>
              <w:pStyle w:val="null3"/>
              <w:ind w:right="15"/>
              <w:jc w:val="both"/>
            </w:pPr>
            <w:r>
              <w:rPr>
                <w:rFonts w:ascii="仿宋_GB2312" w:hAnsi="仿宋_GB2312" w:cs="仿宋_GB2312" w:eastAsia="仿宋_GB2312"/>
                <w:sz w:val="21"/>
              </w:rPr>
              <w:t>3.预案编制涵盖总则、应急组织指挥体系、预防与预警、应急响应、后期处置、应急保障等章节，衔接上级预案，确保与省/市/级预案体系有效联动。</w:t>
            </w:r>
          </w:p>
          <w:p>
            <w:pPr>
              <w:pStyle w:val="null3"/>
              <w:ind w:right="15"/>
              <w:jc w:val="both"/>
            </w:pPr>
            <w:r>
              <w:rPr>
                <w:rFonts w:ascii="仿宋_GB2312" w:hAnsi="仿宋_GB2312" w:cs="仿宋_GB2312" w:eastAsia="仿宋_GB2312"/>
                <w:sz w:val="21"/>
              </w:rPr>
              <w:t>4.书面征求相关单位（部门）意见，并根据意见修订完善；</w:t>
            </w:r>
          </w:p>
          <w:p>
            <w:pPr>
              <w:pStyle w:val="null3"/>
              <w:ind w:right="15"/>
              <w:jc w:val="both"/>
            </w:pPr>
            <w:r>
              <w:rPr>
                <w:rFonts w:ascii="仿宋_GB2312" w:hAnsi="仿宋_GB2312" w:cs="仿宋_GB2312" w:eastAsia="仿宋_GB2312"/>
                <w:sz w:val="21"/>
              </w:rPr>
              <w:t>5.按照要求，邀请工程技术、安全生产、应急管理、预案管理等有关专家评审并出具评审意见，通过应急预案；</w:t>
            </w:r>
          </w:p>
          <w:p>
            <w:pPr>
              <w:pStyle w:val="null3"/>
              <w:ind w:right="15"/>
              <w:jc w:val="both"/>
            </w:pPr>
            <w:r>
              <w:rPr>
                <w:rFonts w:ascii="仿宋_GB2312" w:hAnsi="仿宋_GB2312" w:cs="仿宋_GB2312" w:eastAsia="仿宋_GB2312"/>
                <w:sz w:val="21"/>
              </w:rPr>
              <w:t>6.完成编制说明，形成备案资料汇编，按照规定时限将应急预案正式印发文本（含电子文本）及编制说明，向有关单位备案并抄送。</w:t>
            </w:r>
          </w:p>
          <w:p>
            <w:pPr>
              <w:pStyle w:val="null3"/>
              <w:ind w:right="15"/>
              <w:jc w:val="both"/>
            </w:pPr>
            <w:r>
              <w:rPr>
                <w:rFonts w:ascii="仿宋_GB2312" w:hAnsi="仿宋_GB2312" w:cs="仿宋_GB2312" w:eastAsia="仿宋_GB2312"/>
                <w:sz w:val="21"/>
                <w:b/>
              </w:rPr>
              <w:t>二、应急预案培训宣贯</w:t>
            </w:r>
          </w:p>
          <w:p>
            <w:pPr>
              <w:pStyle w:val="null3"/>
              <w:ind w:right="15"/>
              <w:jc w:val="both"/>
            </w:pPr>
            <w:r>
              <w:rPr>
                <w:rFonts w:ascii="仿宋_GB2312" w:hAnsi="仿宋_GB2312" w:cs="仿宋_GB2312" w:eastAsia="仿宋_GB2312"/>
                <w:sz w:val="21"/>
              </w:rPr>
              <w:t>1.配合采购人组织相关单位领导、业务骨干及有关人员参加培训及宣贯会议；</w:t>
            </w:r>
          </w:p>
          <w:p>
            <w:pPr>
              <w:pStyle w:val="null3"/>
              <w:ind w:right="15"/>
              <w:jc w:val="both"/>
            </w:pPr>
            <w:r>
              <w:rPr>
                <w:rFonts w:ascii="仿宋_GB2312" w:hAnsi="仿宋_GB2312" w:cs="仿宋_GB2312" w:eastAsia="仿宋_GB2312"/>
                <w:sz w:val="21"/>
              </w:rPr>
              <w:t>2.安排预案编制工作人员对应急预案要点、突发事件信息报告与处置流程等内容解读，并就与会人员问题答疑；</w:t>
            </w:r>
          </w:p>
          <w:p>
            <w:pPr>
              <w:pStyle w:val="null3"/>
              <w:ind w:right="15"/>
              <w:jc w:val="both"/>
            </w:pPr>
            <w:r>
              <w:rPr>
                <w:rFonts w:ascii="仿宋_GB2312" w:hAnsi="仿宋_GB2312" w:cs="仿宋_GB2312" w:eastAsia="仿宋_GB2312"/>
                <w:sz w:val="21"/>
              </w:rPr>
              <w:t>3.准备并印发宣贯培训所需资料。</w:t>
            </w:r>
          </w:p>
          <w:p>
            <w:pPr>
              <w:pStyle w:val="null3"/>
              <w:ind w:right="15"/>
              <w:jc w:val="both"/>
            </w:pPr>
            <w:r>
              <w:rPr>
                <w:rFonts w:ascii="仿宋_GB2312" w:hAnsi="仿宋_GB2312" w:cs="仿宋_GB2312" w:eastAsia="仿宋_GB2312"/>
                <w:sz w:val="21"/>
                <w:b/>
              </w:rPr>
              <w:t>三、应急演练</w:t>
            </w:r>
          </w:p>
          <w:p>
            <w:pPr>
              <w:pStyle w:val="null3"/>
              <w:ind w:right="15"/>
              <w:jc w:val="both"/>
            </w:pPr>
            <w:r>
              <w:rPr>
                <w:rFonts w:ascii="仿宋_GB2312" w:hAnsi="仿宋_GB2312" w:cs="仿宋_GB2312" w:eastAsia="仿宋_GB2312"/>
                <w:sz w:val="21"/>
              </w:rPr>
              <w:t>按照《生产安全事故应急演练指南》等相关法律法规及技术文件要求实施应急演练，主要服务内容包括演练策划、演练脚本、演练现场搭建、设备租赁及安装、拍摄及后期制作、演练实施等。</w:t>
            </w:r>
          </w:p>
          <w:p>
            <w:pPr>
              <w:pStyle w:val="null3"/>
              <w:ind w:right="15"/>
              <w:jc w:val="both"/>
            </w:pPr>
            <w:r>
              <w:rPr>
                <w:rFonts w:ascii="仿宋_GB2312" w:hAnsi="仿宋_GB2312" w:cs="仿宋_GB2312" w:eastAsia="仿宋_GB2312"/>
                <w:sz w:val="21"/>
              </w:rPr>
              <w:t>1.在采购人指定施工现场组织实施现场应急演练，确保场地符合演练要求，并采取必要的安全措施。</w:t>
            </w:r>
          </w:p>
          <w:p>
            <w:pPr>
              <w:pStyle w:val="null3"/>
              <w:ind w:right="15"/>
              <w:jc w:val="both"/>
            </w:pPr>
            <w:r>
              <w:rPr>
                <w:rFonts w:ascii="仿宋_GB2312" w:hAnsi="仿宋_GB2312" w:cs="仿宋_GB2312" w:eastAsia="仿宋_GB2312"/>
                <w:sz w:val="21"/>
              </w:rPr>
              <w:t>2.预设公路建设工程生产安全事故模拟场景，编制演练方案等演练文件；</w:t>
            </w:r>
          </w:p>
          <w:p>
            <w:pPr>
              <w:pStyle w:val="null3"/>
              <w:ind w:right="15"/>
              <w:jc w:val="both"/>
            </w:pPr>
            <w:r>
              <w:rPr>
                <w:rFonts w:ascii="仿宋_GB2312" w:hAnsi="仿宋_GB2312" w:cs="仿宋_GB2312" w:eastAsia="仿宋_GB2312"/>
                <w:sz w:val="21"/>
              </w:rPr>
              <w:t>3.做好演练工作保障，提供参演人员、设备、安全等其他保障；</w:t>
            </w:r>
          </w:p>
          <w:p>
            <w:pPr>
              <w:pStyle w:val="null3"/>
              <w:ind w:right="15"/>
              <w:jc w:val="both"/>
            </w:pPr>
            <w:r>
              <w:rPr>
                <w:rFonts w:ascii="仿宋_GB2312" w:hAnsi="仿宋_GB2312" w:cs="仿宋_GB2312" w:eastAsia="仿宋_GB2312"/>
                <w:sz w:val="21"/>
              </w:rPr>
              <w:t>4.做好演练现场保障，包括（1）拍摄制作演练现场视频，并将现场视频录制制作完成后交由采购人留存；（2）在演练过程中，安排专人负责现场布置的管理和维护，及时处理可能出现的问题；（3）配合演练指挥人员进行场景调整和优化，确保演练效果；（4）演练结束后，及时进行撤场清理工作，拆除场景搭建、恢复场地原貌、回收设备和道具等物资；（5）遵守安全操作规程，确保布展搭建和拆除过程中的人员安全。严格选择优质的物料和设备，确保其质量符合要求；（6）演练现场的沟通畅通，包括语音通讯和数据通讯，以便及时传达指令和信息；</w:t>
            </w:r>
          </w:p>
          <w:p>
            <w:pPr>
              <w:pStyle w:val="null3"/>
              <w:ind w:right="15"/>
              <w:jc w:val="both"/>
            </w:pPr>
            <w:r>
              <w:rPr>
                <w:rFonts w:ascii="仿宋_GB2312" w:hAnsi="仿宋_GB2312" w:cs="仿宋_GB2312" w:eastAsia="仿宋_GB2312"/>
                <w:sz w:val="21"/>
              </w:rPr>
              <w:t>5.演练内容要求：公路水运建设工程生产安全事故演练，预设事故场景；模拟预警发布后，各部门如何迅速响应并报告情况；模拟事故区域人员如何迅速、有序地疏散和撤离；模拟如何组织抢险救援工作，包括人员搜救、物资转移等；</w:t>
            </w:r>
          </w:p>
          <w:p>
            <w:pPr>
              <w:pStyle w:val="null3"/>
              <w:ind w:right="15"/>
              <w:jc w:val="both"/>
            </w:pPr>
            <w:r>
              <w:rPr>
                <w:rFonts w:ascii="仿宋_GB2312" w:hAnsi="仿宋_GB2312" w:cs="仿宋_GB2312" w:eastAsia="仿宋_GB2312"/>
                <w:sz w:val="21"/>
              </w:rPr>
              <w:t>6.完成演练评估及总结工作；</w:t>
            </w:r>
          </w:p>
          <w:p>
            <w:pPr>
              <w:pStyle w:val="null3"/>
              <w:ind w:right="15"/>
              <w:jc w:val="both"/>
            </w:pPr>
            <w:r>
              <w:rPr>
                <w:rFonts w:ascii="仿宋_GB2312" w:hAnsi="仿宋_GB2312" w:cs="仿宋_GB2312" w:eastAsia="仿宋_GB2312"/>
                <w:sz w:val="21"/>
              </w:rPr>
              <w:t>7.做好演练资料归档等工作。</w:t>
            </w:r>
          </w:p>
          <w:p>
            <w:pPr>
              <w:pStyle w:val="null3"/>
              <w:ind w:right="15"/>
              <w:jc w:val="both"/>
            </w:pPr>
            <w:r>
              <w:rPr>
                <w:rFonts w:ascii="仿宋_GB2312" w:hAnsi="仿宋_GB2312" w:cs="仿宋_GB2312" w:eastAsia="仿宋_GB2312"/>
                <w:sz w:val="21"/>
                <w:b/>
              </w:rPr>
              <w:t>四、</w:t>
            </w:r>
            <w:r>
              <w:rPr>
                <w:rFonts w:ascii="仿宋_GB2312" w:hAnsi="仿宋_GB2312" w:cs="仿宋_GB2312" w:eastAsia="仿宋_GB2312"/>
                <w:sz w:val="21"/>
                <w:b/>
              </w:rPr>
              <w:t>人员配置要求</w:t>
            </w:r>
          </w:p>
          <w:p>
            <w:pPr>
              <w:pStyle w:val="null3"/>
              <w:ind w:right="15"/>
              <w:jc w:val="both"/>
            </w:pPr>
            <w:r>
              <w:rPr>
                <w:rFonts w:ascii="仿宋_GB2312" w:hAnsi="仿宋_GB2312" w:cs="仿宋_GB2312" w:eastAsia="仿宋_GB2312"/>
                <w:sz w:val="21"/>
              </w:rPr>
              <w:t>人员架构合理，人员配置充足，满足项目调研、以及编制、演练等服务要求。</w:t>
            </w:r>
          </w:p>
          <w:p>
            <w:pPr>
              <w:pStyle w:val="null3"/>
              <w:ind w:right="15"/>
              <w:jc w:val="both"/>
            </w:pPr>
            <w:r>
              <w:rPr>
                <w:rFonts w:ascii="仿宋_GB2312" w:hAnsi="仿宋_GB2312" w:cs="仿宋_GB2312" w:eastAsia="仿宋_GB2312"/>
                <w:sz w:val="21"/>
                <w:b/>
              </w:rPr>
              <w:t>五、其他</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配合完成采购人为完成本项目的其他事项。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自合同签订之日起至本项目所有采购内容结束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国家标准、行业标准、企业标准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完成应急预案编制及应急预案培训宣贯，并经委托人和有关部门审查合格后出具相关成果文件（履约保证金待演练结束后退还）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（1）本项目为总价合同，预算金额 30 万元，磋商报价是供应商应在磋商报价表中标明完成本项目所要求内容且验收合格的所有费用,总价包括但不限于人工费、成果相关费用、培训相关费用、演练所需相关费用、管理费、风险、利润、税金、采购代理服务费等其他一切相关费用。任何有选择的报价将不予接受，否则按无效磋商处理。 （2）项目属性：服务。 （3）本项目所属行业为：其他未列明行业。从业人员300人以下的为中小微型企业。其中，从业人员100人及以上的为中型企业；从业人员10人及以上的为小型企业；从业人员10人以下的为微型企业。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一个月的依法缴纳税收的相关凭据（时间以税款所属日期为准），依法免税或无须缴纳税收的供应商应提供相关证明材料；3、提供磋商截止时间前6个月内任意一个月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2023年度或2024年度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未处于被责令停业或者财产被接管、冻结和破产状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资格证明文件 业绩 标的清单 陕西省政府采购供应商拒绝政府采购领域商业贿赂承诺书 报价表 响应函 商务条款偏离表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资格证明文件 标的清单 陕西省政府采购供应商拒绝政府采购领域商业贿赂承诺书 报价表 其他说明 响应函 商务条款偏离表 磋商方案说明书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只能有一个有效报价，不得提交选择性报价，且报价不超过采购预算金额或单价最高限价（如有）</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应满足磋商文件中要求的服务期、服务地点</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拟派项目负责人，具有丰富的相关领域工作经验，曾担任过同类项目负责人的，业绩以合同为依据，响应文件中附有其证明资料，每提供一份证明材料计2.5分，满分5分。 需提供项目负责人身份证、以及在本单位缴费个人社会保险的查询截图。</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供应商提供针对本项目团队成员配备方案（包括但不限于对从业人员数量、专业能力和工作经验等方面）进行综合评审。 方案完善、可行、配备合理、充足，各岗位职责明确得7-10分； 方案一般，配备较合理得3-7分； 方案较差，配备不合理得0-3分。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针对本项目制定完整的实施方案，所列方案内容详细、合理、规范，且满足竞争性磋商文件的要求。 方案详细合理，可行性强得13-20分； 方案较详细，可行性较强得7-13分； 方案混乱，可行性差得0-7分。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演练方案</w:t>
            </w:r>
          </w:p>
        </w:tc>
        <w:tc>
          <w:tcPr>
            <w:tcW w:type="dxa" w:w="2492"/>
          </w:tcPr>
          <w:p>
            <w:pPr>
              <w:pStyle w:val="null3"/>
            </w:pPr>
            <w:r>
              <w:rPr>
                <w:rFonts w:ascii="仿宋_GB2312" w:hAnsi="仿宋_GB2312" w:cs="仿宋_GB2312" w:eastAsia="仿宋_GB2312"/>
              </w:rPr>
              <w:t>演练现场调研及策划方案：有针对演练现场科学合理、切实可行的调研计划及策划方案，包含但不限于对演练现场环境布置、场地安排等： 方案完整、详尽、可操作性强得14-20分； 方案较完整、详尽、可操作性较强得7-14分； 方案不完整，可操作性不强得0-7分。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制定科学合理的培训方案，包括但不限于培训讲师、培训内容等： 方案计划完善可实施性强得7-10分； 方案计划较完善可实施性一般得4-7分； 方案计划基本满足可实施性不明确、可操作性差得0-4分。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安全保障措施：有针对各类突发事件的安全保障措施： 措施完善，可操作性强得4-5分； 措施较完善，可操作性较强得2-4分； 措施不完善，可操作性不强得0-2分。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设备保障措施</w:t>
            </w:r>
          </w:p>
        </w:tc>
        <w:tc>
          <w:tcPr>
            <w:tcW w:type="dxa" w:w="2492"/>
          </w:tcPr>
          <w:p>
            <w:pPr>
              <w:pStyle w:val="null3"/>
            </w:pPr>
            <w:r>
              <w:rPr>
                <w:rFonts w:ascii="仿宋_GB2312" w:hAnsi="仿宋_GB2312" w:cs="仿宋_GB2312" w:eastAsia="仿宋_GB2312"/>
              </w:rPr>
              <w:t>具有完成服务的拟投入的专业设施设备，根据设备的专业程度和全面程度综合评分： 保障措施完善、可行得4-5分； 保障措施较完善、可行得2-4分； 保障措施不健全得0-2分。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 合理化建议详细、科学，可行性强得3-5分； 合理化建议简略，可行性差得0-3分。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供应商提供近三年（2022年1月1日至今，以合同签订时间为准）的同类项目业绩，业绩以合同为依据，响应文件中附有其证明资料，每提供一个业绩证明计5分，满分10分。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