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3"/>
        <w:jc w:val="center"/>
        <w:rPr>
          <w:rFonts w:hint="eastAsia" w:ascii="仿宋" w:hAnsi="仿宋" w:eastAsia="仿宋" w:cs="仿宋"/>
          <w:color w:val="auto"/>
          <w:sz w:val="44"/>
          <w:szCs w:val="44"/>
          <w:lang w:val="en-US" w:eastAsia="zh-CN"/>
        </w:rPr>
      </w:pPr>
      <w:r>
        <w:rPr>
          <w:rFonts w:hint="eastAsia" w:ascii="仿宋" w:hAnsi="仿宋" w:eastAsia="仿宋" w:cs="仿宋"/>
          <w:color w:val="auto"/>
          <w:sz w:val="44"/>
          <w:szCs w:val="44"/>
          <w:lang w:val="en-US" w:eastAsia="zh-CN"/>
        </w:rPr>
        <w:t>合同文本</w:t>
      </w:r>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投标人</w:t>
      </w:r>
      <w:r>
        <w:rPr>
          <w:rFonts w:hint="eastAsia" w:ascii="仿宋" w:hAnsi="仿宋" w:eastAsia="仿宋" w:cs="仿宋"/>
          <w:bCs/>
          <w:color w:val="auto"/>
          <w:sz w:val="24"/>
          <w:szCs w:val="24"/>
          <w:highlight w:val="none"/>
        </w:rPr>
        <w:t xml:space="preserve">）：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val="en-US" w:eastAsia="zh-CN"/>
        </w:rPr>
        <w:t>竞争性谈判</w:t>
      </w:r>
      <w:r>
        <w:rPr>
          <w:rFonts w:hint="eastAsia" w:ascii="仿宋" w:hAnsi="仿宋" w:eastAsia="仿宋" w:cs="仿宋"/>
          <w:bCs/>
          <w:color w:val="auto"/>
          <w:sz w:val="24"/>
          <w:szCs w:val="24"/>
          <w:highlight w:val="none"/>
        </w:rPr>
        <w:t>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w:t>
      </w:r>
      <w:r>
        <w:rPr>
          <w:rFonts w:hint="eastAsia" w:ascii="仿宋" w:hAnsi="仿宋" w:eastAsia="仿宋" w:cs="仿宋"/>
          <w:bCs/>
          <w:color w:val="auto"/>
          <w:sz w:val="24"/>
          <w:szCs w:val="24"/>
          <w:highlight w:val="none"/>
          <w:lang w:eastAsia="zh-CN"/>
        </w:rPr>
        <w:t>投标人</w:t>
      </w:r>
      <w:r>
        <w:rPr>
          <w:rFonts w:hint="eastAsia" w:ascii="仿宋" w:hAnsi="仿宋" w:eastAsia="仿宋" w:cs="仿宋"/>
          <w:bCs/>
          <w:color w:val="auto"/>
          <w:sz w:val="24"/>
          <w:szCs w:val="24"/>
          <w:highlight w:val="none"/>
        </w:rPr>
        <w:t>。</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供货</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供货</w:t>
      </w:r>
      <w:r>
        <w:rPr>
          <w:rFonts w:hint="eastAsia" w:ascii="仿宋" w:hAnsi="仿宋" w:eastAsia="仿宋" w:cs="仿宋"/>
          <w:b/>
          <w:bCs/>
          <w:color w:val="auto"/>
          <w:sz w:val="24"/>
          <w:szCs w:val="24"/>
          <w:highlight w:val="none"/>
        </w:rPr>
        <w:t>期</w:t>
      </w:r>
    </w:p>
    <w:p w14:paraId="678CEB1C">
      <w:pPr>
        <w:ind w:firstLine="480" w:firstLineChars="200"/>
        <w:rPr>
          <w:rFonts w:hint="eastAsia" w:ascii="仿宋" w:hAnsi="仿宋" w:eastAsia="仿宋_GB2312" w:cs="仿宋"/>
          <w:bCs/>
          <w:color w:val="auto"/>
          <w:sz w:val="24"/>
          <w:szCs w:val="24"/>
          <w:highlight w:val="none"/>
          <w:lang w:val="en-US" w:eastAsia="zh-CN"/>
        </w:rPr>
      </w:pPr>
      <w:r>
        <w:rPr>
          <w:rFonts w:hint="eastAsia" w:ascii="仿宋" w:hAnsi="仿宋" w:eastAsia="仿宋" w:cs="仿宋"/>
          <w:bCs/>
          <w:color w:val="auto"/>
          <w:sz w:val="24"/>
          <w:szCs w:val="24"/>
          <w:highlight w:val="none"/>
        </w:rPr>
        <w:t>（一）</w:t>
      </w:r>
      <w:r>
        <w:rPr>
          <w:rFonts w:hint="eastAsia" w:ascii="仿宋" w:hAnsi="仿宋" w:eastAsia="仿宋" w:cs="仿宋"/>
          <w:color w:val="auto"/>
          <w:sz w:val="24"/>
          <w:szCs w:val="24"/>
          <w:highlight w:val="none"/>
          <w:lang w:val="en-US" w:eastAsia="zh-CN"/>
        </w:rPr>
        <w:t>供货</w:t>
      </w:r>
      <w:r>
        <w:rPr>
          <w:rFonts w:hint="eastAsia" w:ascii="仿宋" w:hAnsi="仿宋" w:eastAsia="仿宋" w:cs="仿宋"/>
          <w:bCs/>
          <w:color w:val="auto"/>
          <w:sz w:val="24"/>
          <w:szCs w:val="24"/>
          <w:highlight w:val="none"/>
        </w:rPr>
        <w:t>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w:t>
      </w:r>
    </w:p>
    <w:p w14:paraId="72C0D440">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供货</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default" w:ascii="仿宋" w:hAnsi="仿宋" w:eastAsia="仿宋" w:cs="仿宋"/>
          <w:bCs/>
          <w:color w:val="auto"/>
          <w:sz w:val="24"/>
          <w:szCs w:val="24"/>
          <w:highlight w:val="none"/>
          <w:lang w:val="en-US" w:eastAsia="zh-CN"/>
        </w:rPr>
      </w:pPr>
      <w:bookmarkStart w:id="0" w:name="_Toc5951"/>
      <w:bookmarkStart w:id="1" w:name="_Toc13422"/>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0"/>
      <w:bookmarkEnd w:id="1"/>
      <w:r>
        <w:rPr>
          <w:rFonts w:hint="eastAsia" w:ascii="仿宋" w:hAnsi="仿宋" w:eastAsia="仿宋" w:cs="仿宋"/>
          <w:b/>
          <w:bCs/>
          <w:color w:val="auto"/>
          <w:sz w:val="24"/>
          <w:szCs w:val="24"/>
          <w:highlight w:val="none"/>
          <w:lang w:val="en-US" w:eastAsia="zh-CN"/>
        </w:rPr>
        <w:t>采购</w:t>
      </w:r>
      <w:r>
        <w:rPr>
          <w:rFonts w:hint="eastAsia" w:ascii="仿宋" w:hAnsi="仿宋" w:eastAsia="仿宋" w:cs="仿宋"/>
          <w:b/>
          <w:bCs/>
          <w:color w:val="auto"/>
          <w:sz w:val="24"/>
          <w:szCs w:val="24"/>
          <w:highlight w:val="none"/>
        </w:rPr>
        <w:t>方案</w:t>
      </w:r>
    </w:p>
    <w:p w14:paraId="6B628B38">
      <w:pPr>
        <w:pStyle w:val="2"/>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color w:val="auto"/>
          <w:sz w:val="24"/>
          <w:szCs w:val="24"/>
          <w:highlight w:val="none"/>
        </w:rPr>
        <w:t>采购</w:t>
      </w:r>
      <w:r>
        <w:rPr>
          <w:rFonts w:hint="eastAsia" w:ascii="仿宋" w:hAnsi="仿宋" w:eastAsia="仿宋" w:cs="仿宋"/>
          <w:bCs/>
          <w:color w:val="auto"/>
          <w:sz w:val="24"/>
          <w:szCs w:val="24"/>
          <w:highlight w:val="none"/>
        </w:rPr>
        <w:t>承诺：</w:t>
      </w:r>
      <w:r>
        <w:rPr>
          <w:rFonts w:hint="eastAsia" w:ascii="仿宋" w:hAnsi="仿宋" w:eastAsia="仿宋" w:cs="仿宋"/>
          <w:bCs/>
          <w:color w:val="auto"/>
          <w:sz w:val="24"/>
          <w:szCs w:val="24"/>
          <w:highlight w:val="none"/>
          <w:lang w:eastAsia="zh-CN"/>
        </w:rPr>
        <w:t>采购文件</w:t>
      </w:r>
      <w:r>
        <w:rPr>
          <w:rFonts w:hint="eastAsia" w:ascii="仿宋" w:hAnsi="仿宋" w:eastAsia="仿宋" w:cs="仿宋"/>
          <w:bCs/>
          <w:color w:val="auto"/>
          <w:sz w:val="24"/>
          <w:szCs w:val="24"/>
          <w:highlight w:val="none"/>
        </w:rPr>
        <w:t>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2" w:name="_Toc29562"/>
      <w:bookmarkStart w:id="3" w:name="_Toc12322"/>
      <w:r>
        <w:rPr>
          <w:rFonts w:hint="eastAsia" w:ascii="仿宋" w:hAnsi="仿宋" w:eastAsia="仿宋" w:cs="仿宋"/>
          <w:b/>
          <w:bCs/>
          <w:color w:val="auto"/>
          <w:sz w:val="24"/>
          <w:szCs w:val="24"/>
          <w:highlight w:val="none"/>
        </w:rPr>
        <w:t>六、其它事项</w:t>
      </w:r>
      <w:bookmarkEnd w:id="2"/>
      <w:bookmarkEnd w:id="3"/>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w:t>
      </w:r>
      <w:r>
        <w:rPr>
          <w:rFonts w:hint="eastAsia" w:ascii="仿宋" w:hAnsi="仿宋" w:eastAsia="仿宋" w:cs="仿宋"/>
          <w:bCs/>
          <w:color w:val="auto"/>
          <w:sz w:val="24"/>
          <w:szCs w:val="24"/>
          <w:highlight w:val="none"/>
          <w:lang w:eastAsia="zh-CN"/>
        </w:rPr>
        <w:t>采购文件</w:t>
      </w:r>
      <w:r>
        <w:rPr>
          <w:rFonts w:hint="eastAsia" w:ascii="仿宋" w:hAnsi="仿宋" w:eastAsia="仿宋" w:cs="仿宋"/>
          <w:bCs/>
          <w:color w:val="auto"/>
          <w:sz w:val="24"/>
          <w:szCs w:val="24"/>
          <w:highlight w:val="none"/>
        </w:rPr>
        <w:t>和承诺等内容将列入合同。</w:t>
      </w:r>
    </w:p>
    <w:p w14:paraId="4418978B">
      <w:pPr>
        <w:autoSpaceDE w:val="0"/>
        <w:autoSpaceDN w:val="0"/>
        <w:adjustRightInd w:val="0"/>
        <w:spacing w:line="348" w:lineRule="auto"/>
        <w:ind w:firstLine="482" w:firstLineChars="200"/>
        <w:rPr>
          <w:rFonts w:ascii="仿宋_GB2312" w:hAnsi="仿宋_GB2312" w:eastAsia="仿宋_GB2312" w:cs="仿宋_GB2312"/>
          <w:b/>
          <w:sz w:val="24"/>
        </w:rPr>
      </w:pPr>
      <w:bookmarkStart w:id="4" w:name="_Toc9857"/>
      <w:bookmarkStart w:id="5" w:name="_Toc32637"/>
      <w:r>
        <w:rPr>
          <w:rFonts w:hint="eastAsia" w:ascii="仿宋" w:hAnsi="仿宋" w:eastAsia="仿宋" w:cs="仿宋"/>
          <w:b/>
          <w:bCs/>
          <w:color w:val="auto"/>
          <w:sz w:val="24"/>
          <w:szCs w:val="24"/>
          <w:highlight w:val="none"/>
        </w:rPr>
        <w:t>七、运输</w:t>
      </w:r>
      <w:r>
        <w:rPr>
          <w:rFonts w:hint="eastAsia" w:ascii="仿宋" w:hAnsi="仿宋" w:eastAsia="仿宋" w:cs="仿宋"/>
          <w:b/>
          <w:bCs/>
          <w:color w:val="auto"/>
          <w:sz w:val="24"/>
          <w:szCs w:val="24"/>
          <w:highlight w:val="none"/>
          <w:lang w:val="en-US" w:eastAsia="zh-CN"/>
        </w:rPr>
        <w:t>及</w:t>
      </w:r>
      <w:r>
        <w:rPr>
          <w:rFonts w:ascii="仿宋_GB2312" w:hAnsi="仿宋_GB2312" w:eastAsia="仿宋_GB2312" w:cs="仿宋_GB2312"/>
          <w:b/>
          <w:sz w:val="24"/>
        </w:rPr>
        <w:t>保修</w:t>
      </w:r>
    </w:p>
    <w:p w14:paraId="79BEB4E1">
      <w:pPr>
        <w:autoSpaceDE w:val="0"/>
        <w:autoSpaceDN w:val="0"/>
        <w:adjustRightInd w:val="0"/>
        <w:spacing w:line="348" w:lineRule="auto"/>
        <w:ind w:firstLine="480" w:firstLineChars="200"/>
        <w:rPr>
          <w:rFonts w:hint="eastAsia" w:ascii="仿宋" w:hAnsi="仿宋" w:eastAsia="仿宋" w:cs="仿宋"/>
          <w:b/>
          <w:bCs/>
          <w:color w:val="auto"/>
          <w:sz w:val="24"/>
          <w:szCs w:val="24"/>
          <w:highlight w:val="none"/>
        </w:rPr>
      </w:pPr>
      <w:r>
        <w:rPr>
          <w:rFonts w:hint="eastAsia" w:ascii="仿宋" w:hAnsi="仿宋" w:eastAsia="仿宋" w:cs="仿宋"/>
          <w:bCs/>
          <w:color w:val="auto"/>
          <w:sz w:val="24"/>
          <w:szCs w:val="24"/>
          <w:highlight w:val="none"/>
        </w:rPr>
        <w:t>（一）</w:t>
      </w:r>
      <w:r>
        <w:rPr>
          <w:rFonts w:hint="eastAsia" w:ascii="仿宋" w:hAnsi="仿宋" w:eastAsia="仿宋" w:cs="仿宋"/>
          <w:b/>
          <w:bCs/>
          <w:color w:val="auto"/>
          <w:sz w:val="24"/>
          <w:szCs w:val="24"/>
          <w:highlight w:val="none"/>
        </w:rPr>
        <w:t>包装方式及运输</w:t>
      </w:r>
    </w:p>
    <w:p w14:paraId="08D4BEC3">
      <w:pPr>
        <w:numPr>
          <w:ilvl w:val="0"/>
          <w:numId w:val="0"/>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bookmarkStart w:id="10" w:name="_GoBack"/>
      <w:bookmarkEnd w:id="10"/>
    </w:p>
    <w:p w14:paraId="33E3ED73">
      <w:pPr>
        <w:pStyle w:val="11"/>
        <w:ind w:firstLine="480" w:firstLineChars="200"/>
        <w:outlineLvl w:val="3"/>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二</w:t>
      </w:r>
      <w:r>
        <w:rPr>
          <w:rFonts w:hint="eastAsia" w:ascii="仿宋" w:hAnsi="仿宋" w:eastAsia="仿宋" w:cs="仿宋"/>
          <w:bCs/>
          <w:color w:val="auto"/>
          <w:sz w:val="24"/>
          <w:szCs w:val="24"/>
          <w:highlight w:val="none"/>
        </w:rPr>
        <w:t>）</w:t>
      </w:r>
      <w:r>
        <w:rPr>
          <w:rFonts w:ascii="仿宋_GB2312" w:hAnsi="仿宋_GB2312" w:eastAsia="仿宋_GB2312" w:cs="仿宋_GB2312"/>
          <w:b/>
          <w:sz w:val="24"/>
        </w:rPr>
        <w:t>质量保修范围和保修期</w:t>
      </w:r>
    </w:p>
    <w:p w14:paraId="0A1B07BB">
      <w:pPr>
        <w:numPr>
          <w:ilvl w:val="0"/>
          <w:numId w:val="0"/>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自验收合格之日起，供应商为用户购置的所有产品提供3年原厂质保服务，软件产品提供3年免费升级、维护服务。</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4"/>
      <w:bookmarkEnd w:id="5"/>
    </w:p>
    <w:p w14:paraId="7FAA8DF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1、按《民法典》中的相关条款执行。</w:t>
      </w:r>
    </w:p>
    <w:p w14:paraId="7D7809A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2、乙方未按协议要求提供</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或</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1CE457F6">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、如有异议另行协商。</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7E8B6A6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bookmarkStart w:id="6" w:name="_Toc12051"/>
      <w:bookmarkStart w:id="7" w:name="_Toc11251"/>
      <w:r>
        <w:rPr>
          <w:rFonts w:hint="eastAsia" w:ascii="仿宋" w:hAnsi="仿宋" w:eastAsia="仿宋" w:cs="仿宋"/>
          <w:bCs/>
          <w:color w:val="auto"/>
          <w:sz w:val="24"/>
          <w:szCs w:val="24"/>
          <w:highlight w:val="none"/>
        </w:rPr>
        <w:t>质量验收标准或规范</w:t>
      </w:r>
    </w:p>
    <w:p w14:paraId="5AC14AFC">
      <w:pPr>
        <w:numPr>
          <w:ilvl w:val="0"/>
          <w:numId w:val="0"/>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kern w:val="2"/>
          <w:sz w:val="24"/>
          <w:szCs w:val="24"/>
          <w:lang w:val="en-US" w:eastAsia="zh-CN" w:bidi="ar-SA"/>
        </w:rPr>
        <w:t>（2）</w:t>
      </w:r>
      <w:r>
        <w:rPr>
          <w:rFonts w:hint="eastAsia" w:ascii="仿宋" w:hAnsi="仿宋" w:eastAsia="仿宋" w:cs="仿宋"/>
          <w:bCs/>
          <w:color w:val="auto"/>
          <w:sz w:val="24"/>
          <w:szCs w:val="24"/>
          <w:highlight w:val="none"/>
        </w:rPr>
        <w:t>严格按照</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文件技术指标逐项验收，采购人将根据工作需要，有权指定检测机构对投标人所提供的货物进行送检，检验结果作为货物验收的依据（检测费用由投标人承担）</w:t>
      </w:r>
      <w:r>
        <w:rPr>
          <w:rFonts w:hint="eastAsia" w:ascii="仿宋" w:hAnsi="仿宋" w:eastAsia="仿宋" w:cs="仿宋"/>
          <w:bCs/>
          <w:color w:val="auto"/>
          <w:sz w:val="24"/>
          <w:szCs w:val="24"/>
          <w:highlight w:val="none"/>
          <w:lang w:eastAsia="zh-CN"/>
        </w:rPr>
        <w:t>。</w:t>
      </w:r>
    </w:p>
    <w:p w14:paraId="0009F177">
      <w:pPr>
        <w:numPr>
          <w:ilvl w:val="0"/>
          <w:numId w:val="0"/>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（2）投标人配合采购人验收；若存在验收费用，由投标人自行承担。 </w:t>
      </w:r>
    </w:p>
    <w:p w14:paraId="69361858">
      <w:pPr>
        <w:numPr>
          <w:ilvl w:val="0"/>
          <w:numId w:val="0"/>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（3）若验收有不合格项，要求投标人15天内整改，整改后仍不合格的，采购人有权终止采购合同，因此造成的一切损失由投标人承担。</w:t>
      </w:r>
    </w:p>
    <w:p w14:paraId="1CDC506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3、验收和评价方式</w:t>
      </w:r>
    </w:p>
    <w:p w14:paraId="3556A430">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3.1  乙方提供的</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最终验收达不到</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文件要求和</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lang w:eastAsia="zh-CN"/>
        </w:rPr>
        <w:t>文件</w:t>
      </w:r>
      <w:r>
        <w:rPr>
          <w:rFonts w:hint="eastAsia" w:ascii="仿宋" w:hAnsi="仿宋" w:eastAsia="仿宋" w:cs="仿宋"/>
          <w:bCs/>
          <w:color w:val="auto"/>
          <w:sz w:val="24"/>
          <w:szCs w:val="24"/>
          <w:highlight w:val="none"/>
        </w:rPr>
        <w:t>承诺及国家或行业标准，或在使用中发现甲方不能容忍的缺陷等，将视为验收不合格，乙方应在甲方要求的时间内无条件完善或要求赔付采购人损失。</w:t>
      </w:r>
    </w:p>
    <w:p w14:paraId="79498B7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3.2  若发现乙方有弄虚作假的，本项目合同解除，乙方赔偿甲方相应的损失。</w:t>
      </w:r>
    </w:p>
    <w:p w14:paraId="589F4EA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3.3  验收标准：按</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lang w:eastAsia="zh-CN"/>
        </w:rPr>
        <w:t>文件</w:t>
      </w:r>
      <w:r>
        <w:rPr>
          <w:rFonts w:hint="eastAsia" w:ascii="仿宋" w:hAnsi="仿宋" w:eastAsia="仿宋" w:cs="仿宋"/>
          <w:bCs/>
          <w:color w:val="auto"/>
          <w:sz w:val="24"/>
          <w:szCs w:val="24"/>
          <w:highlight w:val="none"/>
        </w:rPr>
        <w:t>等</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指标进行逐项验收，各项指标均应符合验收标准及要求。</w:t>
      </w:r>
    </w:p>
    <w:p w14:paraId="184BA24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3.4  验收合格后，填写验收单，双方盖章、签字生效。</w:t>
      </w:r>
    </w:p>
    <w:p w14:paraId="12D7FD9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  验收依据</w:t>
      </w:r>
    </w:p>
    <w:p w14:paraId="0F069D4B">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3.5.1  合同文本。</w:t>
      </w:r>
    </w:p>
    <w:p w14:paraId="5E02AD2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3.5.2  </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lang w:eastAsia="zh-CN"/>
        </w:rPr>
        <w:t>文件</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rPr>
        <w:t>文件、澄清函。</w:t>
      </w:r>
    </w:p>
    <w:p w14:paraId="41B023F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3.5.3  国家和行业制定的相应的标准和规范。</w:t>
      </w:r>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6"/>
      <w:bookmarkEnd w:id="7"/>
    </w:p>
    <w:p w14:paraId="3A7FED5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14:paraId="0954587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14:paraId="0F3824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E2CDCC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bookmarkStart w:id="8" w:name="_Toc18561"/>
      <w:bookmarkStart w:id="9" w:name="_Toc31089"/>
      <w:r>
        <w:rPr>
          <w:rFonts w:hint="eastAsia" w:ascii="仿宋" w:hAnsi="仿宋" w:eastAsia="仿宋" w:cs="仿宋"/>
          <w:bCs/>
          <w:color w:val="auto"/>
          <w:sz w:val="24"/>
          <w:szCs w:val="24"/>
          <w:highlight w:val="none"/>
        </w:rPr>
        <w:t>十</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rPr>
        <w:t>、合同生效</w:t>
      </w:r>
      <w:bookmarkEnd w:id="8"/>
      <w:bookmarkEnd w:id="9"/>
    </w:p>
    <w:p w14:paraId="2AB85E4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5155120C">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6A6F1F47">
      <w:pPr>
        <w:tabs>
          <w:tab w:val="left" w:pos="480"/>
        </w:tabs>
        <w:spacing w:line="360" w:lineRule="auto"/>
        <w:ind w:firstLine="482" w:firstLineChars="200"/>
        <w:outlineLvl w:val="9"/>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本页以下无正文</w:t>
      </w:r>
    </w:p>
    <w:p w14:paraId="78C27BBC">
      <w:pP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p>
    <w:p w14:paraId="7DD2817B">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76F29A7E">
      <w:pPr>
        <w:tabs>
          <w:tab w:val="left" w:pos="480"/>
        </w:tabs>
        <w:spacing w:line="360" w:lineRule="auto"/>
        <w:ind w:firstLine="723" w:firstLineChars="300"/>
        <w:rPr>
          <w:rFonts w:hint="eastAsia" w:ascii="仿宋" w:hAnsi="仿宋" w:eastAsia="仿宋" w:cs="仿宋"/>
          <w:b/>
          <w:color w:val="auto"/>
          <w:sz w:val="24"/>
          <w:szCs w:val="24"/>
          <w:highlight w:val="none"/>
        </w:rPr>
      </w:pPr>
    </w:p>
    <w:p w14:paraId="368FA97E">
      <w:pPr>
        <w:tabs>
          <w:tab w:val="left" w:pos="480"/>
        </w:tabs>
        <w:spacing w:line="360" w:lineRule="auto"/>
        <w:ind w:firstLine="723" w:firstLineChars="3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5"/>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5"/>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6"/>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hOTQwN2E4OTM1M2IzMmIwNDQ0YmI1NTMzOGJjYzcifQ=="/>
  </w:docVars>
  <w:rsids>
    <w:rsidRoot w:val="00000000"/>
    <w:rsid w:val="006D4E4D"/>
    <w:rsid w:val="03BB41D7"/>
    <w:rsid w:val="05A4157F"/>
    <w:rsid w:val="06EE3755"/>
    <w:rsid w:val="0AF10769"/>
    <w:rsid w:val="0FE144E8"/>
    <w:rsid w:val="109E25C6"/>
    <w:rsid w:val="134D4950"/>
    <w:rsid w:val="21920880"/>
    <w:rsid w:val="2B3C575A"/>
    <w:rsid w:val="2DE4744E"/>
    <w:rsid w:val="30284935"/>
    <w:rsid w:val="31AA0401"/>
    <w:rsid w:val="334868C9"/>
    <w:rsid w:val="3A240A0B"/>
    <w:rsid w:val="452151CC"/>
    <w:rsid w:val="454A024A"/>
    <w:rsid w:val="459E681C"/>
    <w:rsid w:val="50B80F25"/>
    <w:rsid w:val="50D856D4"/>
    <w:rsid w:val="543E638C"/>
    <w:rsid w:val="54AA0D3A"/>
    <w:rsid w:val="58374957"/>
    <w:rsid w:val="5ED6097D"/>
    <w:rsid w:val="670267B3"/>
    <w:rsid w:val="676E3E49"/>
    <w:rsid w:val="6A0F1235"/>
    <w:rsid w:val="6DAA505B"/>
    <w:rsid w:val="6EA14B04"/>
    <w:rsid w:val="6FE516F2"/>
    <w:rsid w:val="6FF8574F"/>
    <w:rsid w:val="76DC73AC"/>
    <w:rsid w:val="78D91CB0"/>
    <w:rsid w:val="79501600"/>
    <w:rsid w:val="7C105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next w:val="4"/>
    <w:qFormat/>
    <w:uiPriority w:val="0"/>
    <w:rPr>
      <w:color w:val="993300"/>
      <w:sz w:val="24"/>
    </w:rPr>
  </w:style>
  <w:style w:type="paragraph" w:styleId="4">
    <w:name w:val="Body Text First Indent"/>
    <w:basedOn w:val="3"/>
    <w:qFormat/>
    <w:uiPriority w:val="0"/>
    <w:pPr>
      <w:spacing w:after="120"/>
      <w:ind w:firstLine="100" w:firstLineChars="100"/>
    </w:pPr>
    <w:rPr>
      <w:sz w:val="24"/>
      <w:szCs w:val="24"/>
      <w:lang w:val="en-US" w:eastAsia="en-US" w:bidi="en-US"/>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9">
    <w:name w:val="正文缩进1"/>
    <w:basedOn w:val="1"/>
    <w:qFormat/>
    <w:uiPriority w:val="0"/>
    <w:pPr>
      <w:ind w:firstLine="420" w:firstLineChars="200"/>
    </w:pPr>
  </w:style>
  <w:style w:type="paragraph" w:customStyle="1" w:styleId="10">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1398</Words>
  <Characters>1421</Characters>
  <Lines>0</Lines>
  <Paragraphs>0</Paragraphs>
  <TotalTime>3</TotalTime>
  <ScaleCrop>false</ScaleCrop>
  <LinksUpToDate>false</LinksUpToDate>
  <CharactersWithSpaces>2026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2025-06-30T07:21:53Z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3582FE3D250C4BC6B6F484B4057F92AC_13</vt:lpwstr>
  </property>
  <property fmtid="{D5CDD505-2E9C-101B-9397-08002B2CF9AE}" pid="4" name="KSOTemplateDocerSaveRecord">
    <vt:lpwstr>eyJoZGlkIjoiOGIyYWFlYmM3YTU1OGNlMDNhMTZlNTU4Y2U0YzRhZTUiLCJ1c2VySWQiOiI0ODQ3NDU5OTgifQ==</vt:lpwstr>
  </property>
</Properties>
</file>