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版本号：SXGS2025-ZC-014-220250709001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工作网文件共享平台项目(二次)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SXGS2025-ZC-014-2</w:t>
      </w:r>
      <w:r>
        <w:br/>
      </w:r>
      <w:r>
        <w:br/>
      </w:r>
      <w:r>
        <w:br/>
      </w:r>
    </w:p>
    <w:p>
      <w:pPr>
        <w:pStyle w:val="null3"/>
        <w:jc w:val="center"/>
        <w:outlineLvl w:val="2"/>
      </w:pPr>
      <w:r>
        <w:rPr>
          <w:rFonts w:ascii="仿宋_GB2312" w:hAnsi="仿宋_GB2312" w:cs="仿宋_GB2312" w:eastAsia="仿宋_GB2312"/>
          <w:sz w:val="28"/>
          <w:b/>
        </w:rPr>
        <w:t>陕西西咸新区人民检察院</w:t>
      </w:r>
    </w:p>
    <w:p>
      <w:pPr>
        <w:pStyle w:val="null3"/>
        <w:jc w:val="center"/>
        <w:outlineLvl w:val="2"/>
      </w:pPr>
      <w:r>
        <w:rPr>
          <w:rFonts w:ascii="仿宋_GB2312" w:hAnsi="仿宋_GB2312" w:cs="仿宋_GB2312" w:eastAsia="仿宋_GB2312"/>
          <w:sz w:val="28"/>
          <w:b/>
        </w:rPr>
        <w:t>陕西亘上项目管理咨询有限公司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陕西亘上项目管理咨询有限公司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陕西西咸新区人民检察院</w:t>
      </w:r>
      <w:r>
        <w:rPr>
          <w:rFonts w:ascii="仿宋_GB2312" w:hAnsi="仿宋_GB2312" w:cs="仿宋_GB2312" w:eastAsia="仿宋_GB2312"/>
        </w:rPr>
        <w:t>委托，拟对</w:t>
      </w:r>
      <w:r>
        <w:rPr>
          <w:rFonts w:ascii="仿宋_GB2312" w:hAnsi="仿宋_GB2312" w:cs="仿宋_GB2312" w:eastAsia="仿宋_GB2312"/>
        </w:rPr>
        <w:t>工作网文件共享平台项目(二次)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SXGS2025-ZC-014-2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工作网文件共享平台项目(二次)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本项目服务地点为陕西西咸新区人民检察院；为我院桌面云系统提供扩充点位服务及档案室基础设备采购。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1、主体资格证明文件：具有独立承担民事责任能力的法人或非法人组织或自然人，提供合法有效的统一社会信用代码的营业执照等证明文件；</w:t>
      </w:r>
    </w:p>
    <w:p>
      <w:pPr>
        <w:pStyle w:val="null3"/>
      </w:pPr>
      <w:r>
        <w:rPr>
          <w:rFonts w:ascii="仿宋_GB2312" w:hAnsi="仿宋_GB2312" w:cs="仿宋_GB2312" w:eastAsia="仿宋_GB2312"/>
        </w:rPr>
        <w:t>2、法定代表人授权书：提供法定代表人授权委托书及被授权人身份证（投标人为法定代表人时，须提交法定代表人证明书）；</w:t>
      </w:r>
    </w:p>
    <w:p>
      <w:pPr>
        <w:pStyle w:val="null3"/>
      </w:pPr>
      <w:r>
        <w:rPr>
          <w:rFonts w:ascii="仿宋_GB2312" w:hAnsi="仿宋_GB2312" w:cs="仿宋_GB2312" w:eastAsia="仿宋_GB2312"/>
        </w:rPr>
        <w:t>3、财务状况：提供经会计师事务所审计的2024年财务审计报告（至少包括资产负债表和利润表，成立时间至提交投标文件截止时间不足一年的可提供成立后任意时段的资产负债表）；或其开标前半年内基本存款账户开户银行出具的资信证明；</w:t>
      </w:r>
    </w:p>
    <w:p>
      <w:pPr>
        <w:pStyle w:val="null3"/>
      </w:pPr>
      <w:r>
        <w:rPr>
          <w:rFonts w:ascii="仿宋_GB2312" w:hAnsi="仿宋_GB2312" w:cs="仿宋_GB2312" w:eastAsia="仿宋_GB2312"/>
        </w:rPr>
        <w:t>4、社会保障资金：提供投标截止日前半年内任意一个月的社会保障资金缴存单据或社保机构开具的社会保险参保缴费情况证明，依法不需要缴纳社会保障资金的单位应提供相关证明材料；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5、税收缴纳证明：提供投标截止日前半年内任意一个月的纳税证明或完税证明，依法免税的单位应提供相关证明材料；</w:t>
      </w:r>
    </w:p>
    <w:p>
      <w:pPr>
        <w:pStyle w:val="null3"/>
      </w:pPr>
      <w:r>
        <w:rPr>
          <w:rFonts w:ascii="仿宋_GB2312" w:hAnsi="仿宋_GB2312" w:cs="仿宋_GB2312" w:eastAsia="仿宋_GB2312"/>
        </w:rPr>
        <w:t>6、承诺：具有履行合同所必需的设备和专业技术能力的承诺书；</w:t>
      </w:r>
    </w:p>
    <w:p>
      <w:pPr>
        <w:pStyle w:val="null3"/>
      </w:pPr>
      <w:r>
        <w:rPr>
          <w:rFonts w:ascii="仿宋_GB2312" w:hAnsi="仿宋_GB2312" w:cs="仿宋_GB2312" w:eastAsia="仿宋_GB2312"/>
        </w:rPr>
        <w:t>7、书面声明：提供参加政府采购活动前三年内，在经营活动中没有重大违法记录书面声明；</w:t>
      </w:r>
    </w:p>
    <w:p>
      <w:pPr>
        <w:pStyle w:val="null3"/>
      </w:pPr>
      <w:r>
        <w:rPr>
          <w:rFonts w:ascii="仿宋_GB2312" w:hAnsi="仿宋_GB2312" w:cs="仿宋_GB2312" w:eastAsia="仿宋_GB2312"/>
        </w:rPr>
        <w:t>8、信用中国：截止竞争性谈判文件递交截止时间之前，供应商不得在“信用中国” 网站（www.creditchina.gov.cn）中被列入失信被执行人、或被列入异常经营名录及重大税收违法失信主体、“ 中国政府采购网(www.ccgp.gov.cn)” 未被列入政府采购严重违法失信行为记录名单；</w:t>
      </w:r>
    </w:p>
    <w:p>
      <w:pPr>
        <w:pStyle w:val="null3"/>
      </w:pPr>
      <w:r>
        <w:rPr>
          <w:rFonts w:ascii="仿宋_GB2312" w:hAnsi="仿宋_GB2312" w:cs="仿宋_GB2312" w:eastAsia="仿宋_GB2312"/>
        </w:rPr>
        <w:t>9、不接受联合体投标：本项目不接受联合体投标。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陕西西咸新区人民检察院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陕西省咸阳市渭城区窑店街道兰池二路与秦义南路交叉口兰池大厦A座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18133920670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陕西亘上项目管理咨询有限公司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陕西省西安市未央区未央路荣豪大厦12层1222室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029-87363598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家计委颁发的《招标代理服务收费管理暂行办法》（计价格[2002]1980号）国家发展和改革委员会办公厅颁发的《关于招标代理服务收费有关问题的通知》（发改办价格[2003]857号）的有关规定执行，代理服务费不足伍仟元按伍仟元收取。 中标单位在领取成交通知书前，须向采购代理机构一次性支付招标代理服务费。 开户名称：陕西亘上项目管理咨询有限公司； 开户银行：中国建设银行股份有限公司西安广安路支行 银行账号：61050173960009555555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陕西西咸新区人民检察院</w:t>
      </w:r>
      <w:r>
        <w:rPr>
          <w:rFonts w:ascii="仿宋_GB2312" w:hAnsi="仿宋_GB2312" w:cs="仿宋_GB2312" w:eastAsia="仿宋_GB2312"/>
        </w:rPr>
        <w:t>和</w:t>
      </w:r>
      <w:r>
        <w:rPr>
          <w:rFonts w:ascii="仿宋_GB2312" w:hAnsi="仿宋_GB2312" w:cs="仿宋_GB2312" w:eastAsia="仿宋_GB2312"/>
        </w:rPr>
        <w:t>陕西亘上项目管理咨询有限公司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陕西西咸新区人民检察院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陕西亘上项目管理咨询有限公司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陕西西咸新区人民检察院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陕西亘上项目管理咨询有限公司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按照文件等服务指标进行逐项验收，各项指标均应符合验收标准及要求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联系电话：029-87363598</w:t>
      </w:r>
    </w:p>
    <w:p>
      <w:pPr>
        <w:pStyle w:val="null3"/>
      </w:pPr>
      <w:r>
        <w:rPr>
          <w:rFonts w:ascii="仿宋_GB2312" w:hAnsi="仿宋_GB2312" w:cs="仿宋_GB2312" w:eastAsia="仿宋_GB2312"/>
        </w:rPr>
        <w:t>地址：陕西省西安市未央区未央路荣豪大厦12层1222室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本项目服务地点为陕西西咸新区人民检察院；为我院桌面云系统提供扩充点位服务及档案室基础设备采购。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433,000.00</w:t>
      </w:r>
    </w:p>
    <w:p>
      <w:pPr>
        <w:pStyle w:val="null3"/>
      </w:pPr>
      <w:r>
        <w:rPr>
          <w:rFonts w:ascii="仿宋_GB2312" w:hAnsi="仿宋_GB2312" w:cs="仿宋_GB2312" w:eastAsia="仿宋_GB2312"/>
        </w:rPr>
        <w:t>采购包最高限价（元）: 433,000.00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工作网文件共享平台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标的名称：工作网文件共享平台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8"/>
              <w:gridCol w:w="1464"/>
              <w:gridCol w:w="427"/>
              <w:gridCol w:w="444"/>
            </w:tblGrid>
            <w:tr>
              <w:tc>
                <w:tcPr>
                  <w:tcW w:type="dxa" w:w="218"/>
                  <w:tcBorders>
                    <w:top w:val="single" w:color="000000" w:sz="4"/>
                    <w:left w:val="singl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FFFFFF"/>
                    </w:rPr>
                    <w:t>序号</w:t>
                  </w:r>
                </w:p>
              </w:tc>
              <w:tc>
                <w:tcPr>
                  <w:tcW w:type="dxa" w:w="1464"/>
                  <w:tcBorders>
                    <w:top w:val="single" w:color="000000" w:sz="4"/>
                    <w:left w:val="non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FFFFFF"/>
                    </w:rPr>
                    <w:t>产品名称</w:t>
                  </w:r>
                </w:p>
              </w:tc>
              <w:tc>
                <w:tcPr>
                  <w:tcW w:type="dxa" w:w="427"/>
                  <w:tcBorders>
                    <w:top w:val="single" w:color="000000" w:sz="4"/>
                    <w:left w:val="non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FFFFFF"/>
                    </w:rPr>
                    <w:t>总数量</w:t>
                  </w:r>
                </w:p>
              </w:tc>
              <w:tc>
                <w:tcPr>
                  <w:tcW w:type="dxa" w:w="444"/>
                  <w:tcBorders>
                    <w:top w:val="single" w:color="000000" w:sz="4"/>
                    <w:left w:val="non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FFFFFF"/>
                    </w:rPr>
                    <w:t>单位</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国产化云桌面服务器</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国产化云桌面接入授权</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国产化云桌面瘦客户机</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操作系统</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办公软件</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显示器</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键鼠套装</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档案装订销毁一体机</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档案盒打印机</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扫描仪</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扫描仪</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打印机</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机柜</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346"/>
              <w:gridCol w:w="395"/>
              <w:gridCol w:w="2441"/>
            </w:tblGrid>
            <w:tr>
              <w:tc>
                <w:tcPr>
                  <w:tcW w:type="dxa" w:w="346"/>
                  <w:tcBorders>
                    <w:top w:val="single" w:color="000000" w:sz="4"/>
                    <w:left w:val="singl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FFFFFF"/>
                    </w:rPr>
                    <w:t>序号</w:t>
                  </w:r>
                </w:p>
              </w:tc>
              <w:tc>
                <w:tcPr>
                  <w:tcW w:type="dxa" w:w="395"/>
                  <w:tcBorders>
                    <w:top w:val="single" w:color="000000" w:sz="4"/>
                    <w:left w:val="non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FFFFFF"/>
                    </w:rPr>
                    <w:t>产品名称</w:t>
                  </w:r>
                </w:p>
              </w:tc>
              <w:tc>
                <w:tcPr>
                  <w:tcW w:type="dxa" w:w="2441"/>
                  <w:tcBorders>
                    <w:top w:val="single" w:color="000000" w:sz="4"/>
                    <w:left w:val="non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FFFFFF"/>
                    </w:rPr>
                    <w:t>技术要求</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国产化云桌面服务器</w:t>
                  </w:r>
                </w:p>
              </w:tc>
              <w:tc>
                <w:tcPr>
                  <w:tcW w:type="dxa" w:w="2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★规格：2U，CPU：2颗国产化CPU，单颗CPU主频≥2.9GHz，单颗CPU核数≥16C，内存≥8*32GB DDR4 3200，系统盘≥2*960GB，缓存盘≥2个* 1.92T-SSD，数据盘≥6个* 4T，标配盘位数≥12，电源：冗余电源，接口数量≥4千兆电口+4万兆光口。</w:t>
                  </w:r>
                  <w:r>
                    <w:br/>
                  </w:r>
                  <w:r>
                    <w:rPr>
                      <w:rFonts w:ascii="仿宋_GB2312" w:hAnsi="仿宋_GB2312" w:cs="仿宋_GB2312" w:eastAsia="仿宋_GB2312"/>
                      <w:sz w:val="20"/>
                      <w:color w:val="000000"/>
                    </w:rPr>
                    <w:t>★提供厂商售后服务承诺函，并加盖厂商公章。</w:t>
                  </w:r>
                  <w:r>
                    <w:br/>
                  </w:r>
                  <w:r>
                    <w:rPr>
                      <w:rFonts w:ascii="仿宋_GB2312" w:hAnsi="仿宋_GB2312" w:cs="仿宋_GB2312" w:eastAsia="仿宋_GB2312"/>
                      <w:sz w:val="20"/>
                      <w:color w:val="000000"/>
                    </w:rPr>
                    <w:t>功能参数：</w:t>
                  </w:r>
                  <w:r>
                    <w:br/>
                  </w:r>
                  <w:r>
                    <w:rPr>
                      <w:rFonts w:ascii="仿宋_GB2312" w:hAnsi="仿宋_GB2312" w:cs="仿宋_GB2312" w:eastAsia="仿宋_GB2312"/>
                      <w:sz w:val="20"/>
                      <w:color w:val="000000"/>
                    </w:rPr>
                    <w:t>1.△我单位存在很多业务应用，桌面云终端在多应用并行运行的情况下，管理员可针对当下使用频率较高的应用软件做进程加速从而保障核心应用的使用体验与高效运行。提供相关功能截图。</w:t>
                  </w:r>
                  <w:r>
                    <w:br/>
                  </w:r>
                  <w:r>
                    <w:rPr>
                      <w:rFonts w:ascii="仿宋_GB2312" w:hAnsi="仿宋_GB2312" w:cs="仿宋_GB2312" w:eastAsia="仿宋_GB2312"/>
                      <w:sz w:val="20"/>
                      <w:color w:val="000000"/>
                    </w:rPr>
                    <w:t>2.△为保证统一管理，要求本次部署的云桌面集群，可以和原先单位内已经部署的云桌面集群进行统一云管平台管理，在一个云管平台上进行虚拟机业务的派发和管理操作，如需进行定制，定制费用由供应商自行承担。出具承诺函并加盖供应商公章。</w:t>
                  </w:r>
                  <w:r>
                    <w:br/>
                  </w:r>
                  <w:r>
                    <w:rPr>
                      <w:rFonts w:ascii="仿宋_GB2312" w:hAnsi="仿宋_GB2312" w:cs="仿宋_GB2312" w:eastAsia="仿宋_GB2312"/>
                      <w:sz w:val="20"/>
                      <w:color w:val="000000"/>
                    </w:rPr>
                    <w:t>3.管理员可通过集群管理界面单点登录的模式跳转至其他站点集群的管理平台，实现对各分支桌面云平台的集中统一监管，便于监管各分支桌面云平台的运行状态，提高运维效率，降低了管理复杂度。提供相关功能截图。</w:t>
                  </w:r>
                  <w:r>
                    <w:br/>
                  </w:r>
                  <w:r>
                    <w:rPr>
                      <w:rFonts w:ascii="仿宋_GB2312" w:hAnsi="仿宋_GB2312" w:cs="仿宋_GB2312" w:eastAsia="仿宋_GB2312"/>
                      <w:sz w:val="20"/>
                      <w:color w:val="000000"/>
                    </w:rPr>
                    <w:t>4.△勒索病毒是我单位的重点防护对象，为防止勒索病毒感染风险，平台需要支持虚拟机防勒索功能，当检测到资产防护组件异常、疑似中勒索病毒时，平台能够自动触发快照，最大程度的保障办公数据的安全。需提供具有CNAS、CMA资质的第三方测试机构的证明材料，至少包含报告首页，对应功能测试页和报告尾页。</w:t>
                  </w:r>
                  <w:r>
                    <w:br/>
                  </w:r>
                  <w:r>
                    <w:rPr>
                      <w:rFonts w:ascii="仿宋_GB2312" w:hAnsi="仿宋_GB2312" w:cs="仿宋_GB2312" w:eastAsia="仿宋_GB2312"/>
                      <w:sz w:val="20"/>
                      <w:color w:val="000000"/>
                    </w:rPr>
                    <w:t>5.为了保障我单位桌面云的部署效率、简化桌面云运维难度，桌面云平台需支持链接克隆和完整复制虚拟机。链接克隆可以大幅提升桌面的上线效率，并简化桌面的升级运维工作量。完整复制虚拟机可以让虚拟机保持独立，不受模版单点故障影响。克隆时可指定虚拟机数量、运行位置等信息，并可以实现链接克隆虚拟机转为完整复制虚拟机，本项目要求100个虚拟机派生时间不超过5分钟。提供链接克隆虚拟机转为完整复制虚拟机功能截图。</w:t>
                  </w:r>
                  <w:r>
                    <w:br/>
                  </w:r>
                  <w:r>
                    <w:rPr>
                      <w:rFonts w:ascii="仿宋_GB2312" w:hAnsi="仿宋_GB2312" w:cs="仿宋_GB2312" w:eastAsia="仿宋_GB2312"/>
                      <w:sz w:val="20"/>
                      <w:color w:val="000000"/>
                    </w:rPr>
                    <w:t>6.为保障红头文件等关键数据文件的安全性，支持将剪切板、PC设备和USB设备外发文件的操作禁止，且禁止后，可通过统一的导出文件设计模块导入，所有通过导出审计系统的文件将会加密备份到数据中心，以备后续审计使用，可疑的导出行为会产生告警。提供第三方检测报告。</w:t>
                  </w:r>
                  <w:r>
                    <w:br/>
                  </w:r>
                  <w:r>
                    <w:rPr>
                      <w:rFonts w:ascii="仿宋_GB2312" w:hAnsi="仿宋_GB2312" w:cs="仿宋_GB2312" w:eastAsia="仿宋_GB2312"/>
                      <w:sz w:val="20"/>
                      <w:color w:val="000000"/>
                    </w:rPr>
                    <w:t>7.△为了减少由于内存条老化带来的办公系统宕机的风险，平台需要支持内存ECC自动纠错机制，当扫描到物理主机的内存条出现ECC CE和UE错误时，能够将对应内存空间进行隔离并定位故障内存的槽位，减少硬件问题对业务的影响，需提供第三方测试机构的证明材料，至少包含报告首页，对应功能测试页和报告尾页。</w:t>
                  </w:r>
                  <w:r>
                    <w:br/>
                  </w:r>
                  <w:r>
                    <w:rPr>
                      <w:rFonts w:ascii="仿宋_GB2312" w:hAnsi="仿宋_GB2312" w:cs="仿宋_GB2312" w:eastAsia="仿宋_GB2312"/>
                      <w:sz w:val="20"/>
                      <w:color w:val="000000"/>
                    </w:rPr>
                    <w:t>8.△为了满足我单位办公业务的安全性需求，桌面云平台需满足内嵌桌面防火墙的功能，在管理平台可配置基于ip、虚拟机、用户的ACL策略访问控制，以解决网络隔离配置的复杂性以及实现虚拟机直接的隔离安全，提供桌面防火墙功能截图，同时提供不少于1000点的虚拟防火墙数量。</w:t>
                  </w:r>
                  <w:r>
                    <w:br/>
                  </w:r>
                  <w:r>
                    <w:rPr>
                      <w:rFonts w:ascii="仿宋_GB2312" w:hAnsi="仿宋_GB2312" w:cs="仿宋_GB2312" w:eastAsia="仿宋_GB2312"/>
                      <w:sz w:val="20"/>
                      <w:color w:val="000000"/>
                    </w:rPr>
                    <w:t>9.△为了减少由于磁盘坏道过多带来的办公系统宕机以及数据丢失的风险，桌面云平台需要支持磁盘坏道扫描检测功能，通过设置扫描的时间段，定期对数据盘进行坏道检测，发现坏道后可自动从另外一个副本读取数据。提供带有CMA、CNAS标识的检测报告证明，至少包含报告首页，对应功能测试页和报告尾页。</w:t>
                  </w:r>
                  <w:r>
                    <w:br/>
                  </w:r>
                  <w:r>
                    <w:rPr>
                      <w:rFonts w:ascii="仿宋_GB2312" w:hAnsi="仿宋_GB2312" w:cs="仿宋_GB2312" w:eastAsia="仿宋_GB2312"/>
                      <w:sz w:val="20"/>
                      <w:color w:val="000000"/>
                    </w:rPr>
                    <w:t>10.△为了实现桌面云的智能运维，本单位采购的桌面云平台需要实现软件资源占用统计以及业务软件的识别，针对软件资源占用进行统计分析，如果消耗较高要求提供告警，业务软件识别功能可以将特定软件标记为业务软件和非业务软件，便于管理员对用户的软件安装和使用情况做分析。提供相关功能截图。</w:t>
                  </w:r>
                  <w:r>
                    <w:br/>
                  </w:r>
                  <w:r>
                    <w:rPr>
                      <w:rFonts w:ascii="仿宋_GB2312" w:hAnsi="仿宋_GB2312" w:cs="仿宋_GB2312" w:eastAsia="仿宋_GB2312"/>
                      <w:sz w:val="20"/>
                      <w:color w:val="000000"/>
                    </w:rPr>
                    <w:t>11.为了快速满足用户对桌面资源的诉求，所投产品需支持用户自助申请虚拟机配置变更，管理员可以选择审批通过、修改申请配置以及驳回操作，审核通过资源自动加到用户虚拟机上，并且用户申请虚拟机配置变更可以直接指定给部门资产管理员审批，既符合规定又提高效率。提供相关功能截图。</w:t>
                  </w:r>
                  <w:r>
                    <w:br/>
                  </w:r>
                  <w:r>
                    <w:rPr>
                      <w:rFonts w:ascii="仿宋_GB2312" w:hAnsi="仿宋_GB2312" w:cs="仿宋_GB2312" w:eastAsia="仿宋_GB2312"/>
                      <w:sz w:val="20"/>
                      <w:color w:val="000000"/>
                    </w:rPr>
                    <w:t>12.为了保障外设兼容性及稳定性，所投产品需支持USB映射，兼容主流使用外设，如高拍仪、扫描枪、扫描仪、摄像头、密码小键盘、指纹收集器、身份证读卡器、手写板、打印机、USB-key等不同外设。</w:t>
                  </w:r>
                  <w:r>
                    <w:br/>
                  </w:r>
                  <w:r>
                    <w:rPr>
                      <w:rFonts w:ascii="仿宋_GB2312" w:hAnsi="仿宋_GB2312" w:cs="仿宋_GB2312" w:eastAsia="仿宋_GB2312"/>
                      <w:sz w:val="20"/>
                      <w:color w:val="000000"/>
                    </w:rPr>
                    <w:t>13.△厂商具有中国网络安全审查技术与认证中心颁发的风险评估一级和安全开发一级资质证书、提供证明材料。</w:t>
                  </w:r>
                  <w:r>
                    <w:br/>
                  </w:r>
                  <w:r>
                    <w:rPr>
                      <w:rFonts w:ascii="仿宋_GB2312" w:hAnsi="仿宋_GB2312" w:cs="仿宋_GB2312" w:eastAsia="仿宋_GB2312"/>
                      <w:sz w:val="20"/>
                      <w:color w:val="000000"/>
                    </w:rPr>
                    <w:t>14.△厂商为国家信息安全漏洞共享平台CNVD技术组和用户组成员，提供证明材料。</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国产化云桌面接入授权</w:t>
                  </w:r>
                </w:p>
              </w:tc>
              <w:tc>
                <w:tcPr>
                  <w:tcW w:type="dxa" w:w="2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功能参数：</w:t>
                  </w:r>
                  <w:r>
                    <w:br/>
                  </w:r>
                  <w:r>
                    <w:rPr>
                      <w:rFonts w:ascii="仿宋_GB2312" w:hAnsi="仿宋_GB2312" w:cs="仿宋_GB2312" w:eastAsia="仿宋_GB2312"/>
                      <w:sz w:val="20"/>
                      <w:color w:val="000000"/>
                    </w:rPr>
                    <w:t>1.△为了保障办公业务数据的安全性，桌面云平台需要支持虚拟机的集中备份与恢复，通过支持设置备份策略实现全自动化备份，可按需选择多个虚拟机或全部虚拟机备份至外置存储。提供第三方检测报告证明可对虚拟机备份并恢复。</w:t>
                  </w:r>
                  <w:r>
                    <w:br/>
                  </w:r>
                  <w:r>
                    <w:rPr>
                      <w:rFonts w:ascii="仿宋_GB2312" w:hAnsi="仿宋_GB2312" w:cs="仿宋_GB2312" w:eastAsia="仿宋_GB2312"/>
                      <w:sz w:val="20"/>
                      <w:color w:val="000000"/>
                    </w:rPr>
                    <w:t>2.为了增加终端使用人员针对桌面数据的合理容错性，平台需要支持自助快照恢复，当使用人员误操作导致云桌面卡慢、蓝屏、死机或者中病毒的时候，可通过快照还原按钮自助进行系统盘快照还原操作，需要支持安卓瘦终端、PC客户端，提供功能截图及第三方检测报告证明。</w:t>
                  </w:r>
                  <w:r>
                    <w:br/>
                  </w:r>
                  <w:r>
                    <w:rPr>
                      <w:rFonts w:ascii="仿宋_GB2312" w:hAnsi="仿宋_GB2312" w:cs="仿宋_GB2312" w:eastAsia="仿宋_GB2312"/>
                      <w:sz w:val="20"/>
                      <w:color w:val="000000"/>
                    </w:rPr>
                    <w:t>3.为了提高桌面使用体验，桌面云平台需支持视频重定向技术，视频文件不在服务器解码，直接重定向到终端本地解码，提升播放体验。提供第三方检测报告证明。</w:t>
                  </w:r>
                  <w:r>
                    <w:br/>
                  </w:r>
                  <w:r>
                    <w:rPr>
                      <w:rFonts w:ascii="仿宋_GB2312" w:hAnsi="仿宋_GB2312" w:cs="仿宋_GB2312" w:eastAsia="仿宋_GB2312"/>
                      <w:sz w:val="20"/>
                      <w:color w:val="000000"/>
                    </w:rPr>
                    <w:t>4.为提高接入桌面的终端安全准入，减少终端的病毒携带风险，客户端准入时需要经过安全检测，检测内容至少包括：终端类型、操作系统版本、接入IP和时间、软件安装情况等条件设置接入访问策略，如客户端不满足安全检测要求则不允许接入，提供功能截图。</w:t>
                  </w:r>
                  <w:r>
                    <w:br/>
                  </w:r>
                  <w:r>
                    <w:rPr>
                      <w:rFonts w:ascii="仿宋_GB2312" w:hAnsi="仿宋_GB2312" w:cs="仿宋_GB2312" w:eastAsia="仿宋_GB2312"/>
                      <w:sz w:val="20"/>
                      <w:color w:val="000000"/>
                    </w:rPr>
                    <w:t>5.本单位有严格的应用管控要求，桌面云平台需要实现应用管控技术，通过设置黑白名单的方式实现，在黑名单中可以通过配置规则禁止指定应用或进程在云桌面中运行，在白名单中通过配置规则只允许规则中的应用或进程在云桌面中运行。提供功能截图。</w:t>
                  </w:r>
                  <w:r>
                    <w:br/>
                  </w:r>
                  <w:r>
                    <w:rPr>
                      <w:rFonts w:ascii="仿宋_GB2312" w:hAnsi="仿宋_GB2312" w:cs="仿宋_GB2312" w:eastAsia="仿宋_GB2312"/>
                      <w:sz w:val="20"/>
                      <w:color w:val="000000"/>
                    </w:rPr>
                    <w:t>6.△厂商具有云安全联盟大中华区五级认证证书，提供证明材料。</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国产化云桌面瘦客户机</w:t>
                  </w:r>
                </w:p>
              </w:tc>
              <w:tc>
                <w:tcPr>
                  <w:tcW w:type="dxa" w:w="2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★硬件参数：CPU主频≥1.6GHz，内存≥1GB，硬盘容量≥4GB，接口数量≥1百兆电口，接口数量≥1*HDMI，USB数量≥6*USB2.0。</w:t>
                  </w:r>
                  <w:r>
                    <w:br/>
                  </w:r>
                  <w:r>
                    <w:rPr>
                      <w:rFonts w:ascii="仿宋_GB2312" w:hAnsi="仿宋_GB2312" w:cs="仿宋_GB2312" w:eastAsia="仿宋_GB2312"/>
                      <w:sz w:val="20"/>
                      <w:color w:val="000000"/>
                    </w:rPr>
                    <w:t>功能参数：</w:t>
                  </w:r>
                  <w:r>
                    <w:br/>
                  </w:r>
                  <w:r>
                    <w:rPr>
                      <w:rFonts w:ascii="仿宋_GB2312" w:hAnsi="仿宋_GB2312" w:cs="仿宋_GB2312" w:eastAsia="仿宋_GB2312"/>
                      <w:sz w:val="20"/>
                      <w:color w:val="000000"/>
                    </w:rPr>
                    <w:t>△为了提升桌面云终端的易用性，瘦终端需要支持配置自定义开机画面、支持云终端分组管理、支持配置云终端定时开关机计划、支持开启“云终端加电自启”功能、支持配置是否自动下载并安装更新、支持批量移动/删除/关闭云终端、支持配置是否允许自动登录和保存密码，提供功能截图。</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操作系统</w:t>
                  </w:r>
                </w:p>
              </w:tc>
              <w:tc>
                <w:tcPr>
                  <w:tcW w:type="dxa" w:w="2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国产操作系统（</w:t>
                  </w:r>
                  <w:r>
                    <w:rPr>
                      <w:rFonts w:ascii="仿宋_GB2312" w:hAnsi="仿宋_GB2312" w:cs="仿宋_GB2312" w:eastAsia="仿宋_GB2312"/>
                      <w:sz w:val="20"/>
                      <w:color w:val="000000"/>
                    </w:rPr>
                    <w:t>包含</w:t>
                  </w:r>
                  <w:r>
                    <w:rPr>
                      <w:rFonts w:ascii="仿宋_GB2312" w:hAnsi="仿宋_GB2312" w:cs="仿宋_GB2312" w:eastAsia="仿宋_GB2312"/>
                      <w:sz w:val="20"/>
                      <w:color w:val="000000"/>
                    </w:rPr>
                    <w:t>3年</w:t>
                  </w:r>
                  <w:r>
                    <w:rPr>
                      <w:rFonts w:ascii="仿宋_GB2312" w:hAnsi="仿宋_GB2312" w:cs="仿宋_GB2312" w:eastAsia="仿宋_GB2312"/>
                      <w:sz w:val="20"/>
                      <w:color w:val="000000"/>
                    </w:rPr>
                    <w:t>升级服务</w:t>
                  </w:r>
                  <w:r>
                    <w:rPr>
                      <w:rFonts w:ascii="仿宋_GB2312" w:hAnsi="仿宋_GB2312" w:cs="仿宋_GB2312" w:eastAsia="仿宋_GB2312"/>
                      <w:sz w:val="20"/>
                      <w:color w:val="000000"/>
                    </w:rPr>
                    <w:t>）参数：</w:t>
                  </w:r>
                </w:p>
                <w:p>
                  <w:pPr>
                    <w:pStyle w:val="null3"/>
                    <w:jc w:val="left"/>
                  </w:pPr>
                  <w:r>
                    <w:rPr>
                      <w:rFonts w:ascii="仿宋_GB2312" w:hAnsi="仿宋_GB2312" w:cs="仿宋_GB2312" w:eastAsia="仿宋_GB2312"/>
                      <w:sz w:val="20"/>
                      <w:color w:val="000000"/>
                    </w:rPr>
                    <w:t>1.支持主流国产CPU。</w:t>
                  </w:r>
                  <w:r>
                    <w:br/>
                  </w:r>
                  <w:r>
                    <w:rPr>
                      <w:rFonts w:ascii="仿宋_GB2312" w:hAnsi="仿宋_GB2312" w:cs="仿宋_GB2312" w:eastAsia="仿宋_GB2312"/>
                      <w:sz w:val="20"/>
                      <w:color w:val="000000"/>
                    </w:rPr>
                    <w:t>2.提供安全中心管控工具，提供图形化应用执行控制工具，具有检查应用程序完整性、来源等功能。</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.兼容主流整机、外设和桌面生态软件，提供全新用户交互操作界面和Kysec安装机制。</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办公软件</w:t>
                  </w:r>
                </w:p>
              </w:tc>
              <w:tc>
                <w:tcPr>
                  <w:tcW w:type="dxa" w:w="2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1、CPU支持:支持AMD64、ARM64、MIPS64、SW64、LoongArch 架构的 CPU.</w:t>
                  </w:r>
                  <w:r>
                    <w:br/>
                  </w:r>
                  <w:r>
                    <w:rPr>
                      <w:rFonts w:ascii="仿宋_GB2312" w:hAnsi="仿宋_GB2312" w:cs="仿宋_GB2312" w:eastAsia="仿宋_GB2312"/>
                      <w:sz w:val="20"/>
                      <w:color w:val="000000"/>
                    </w:rPr>
                    <w:t>2、支持系统:银河麒麟、统信UOS等国产化操作系统</w:t>
                  </w:r>
                  <w:r>
                    <w:br/>
                  </w:r>
                  <w:r>
                    <w:rPr>
                      <w:rFonts w:ascii="仿宋_GB2312" w:hAnsi="仿宋_GB2312" w:cs="仿宋_GB2312" w:eastAsia="仿宋_GB2312"/>
                      <w:sz w:val="20"/>
                      <w:color w:val="000000"/>
                    </w:rPr>
                    <w:t>3、为方便多文件管理及免压缩传输，支持多个文字处理、电子表格、简报制作的文档集成为一个文件,拥有统一的文件格式。可通过导航面板对文档进行集中管理，通过右击鼠标的方式快速实现文件导入、导出、新建、删除、重命名等操作，高效地满足日常办公需求:</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显示器</w:t>
                  </w:r>
                </w:p>
              </w:tc>
              <w:tc>
                <w:tcPr>
                  <w:tcW w:type="dxa" w:w="2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≥27英寸</w:t>
                  </w:r>
                </w:p>
                <w:p>
                  <w:pPr>
                    <w:pStyle w:val="null3"/>
                    <w:jc w:val="left"/>
                  </w:pP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≥2K</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键鼠套装</w:t>
                  </w:r>
                </w:p>
              </w:tc>
              <w:tc>
                <w:tcPr>
                  <w:tcW w:type="dxa" w:w="2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有线办公键盘鼠标套装</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档案装订销毁一体机</w:t>
                  </w:r>
                </w:p>
              </w:tc>
              <w:tc>
                <w:tcPr>
                  <w:tcW w:type="dxa" w:w="2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装订方式：全自动三孔一线一步完成</w:t>
                  </w:r>
                  <w:r>
                    <w:br/>
                  </w:r>
                  <w:r>
                    <w:rPr>
                      <w:rFonts w:ascii="仿宋_GB2312" w:hAnsi="仿宋_GB2312" w:cs="仿宋_GB2312" w:eastAsia="仿宋_GB2312"/>
                      <w:sz w:val="22"/>
                      <w:color w:val="000000"/>
                    </w:rPr>
                    <w:t>适用耗材：棉线、蜡线</w:t>
                  </w:r>
                  <w:r>
                    <w:br/>
                  </w:r>
                  <w:r>
                    <w:rPr>
                      <w:rFonts w:ascii="仿宋_GB2312" w:hAnsi="仿宋_GB2312" w:cs="仿宋_GB2312" w:eastAsia="仿宋_GB2312"/>
                      <w:sz w:val="22"/>
                      <w:color w:val="000000"/>
                    </w:rPr>
                    <w:t>激光定位：有（</w:t>
                  </w:r>
                  <w:r>
                    <w:rPr>
                      <w:rFonts w:ascii="仿宋_GB2312" w:hAnsi="仿宋_GB2312" w:cs="仿宋_GB2312" w:eastAsia="仿宋_GB2312"/>
                      <w:sz w:val="22"/>
                      <w:color w:val="000000"/>
                    </w:rPr>
                    <w:t>“十”字型激光定位）</w:t>
                  </w:r>
                  <w:r>
                    <w:br/>
                  </w:r>
                  <w:r>
                    <w:rPr>
                      <w:rFonts w:ascii="仿宋_GB2312" w:hAnsi="仿宋_GB2312" w:cs="仿宋_GB2312" w:eastAsia="仿宋_GB2312"/>
                      <w:sz w:val="22"/>
                      <w:color w:val="000000"/>
                    </w:rPr>
                    <w:t>操控面板</w:t>
                  </w:r>
                  <w:r>
                    <w:rPr>
                      <w:rFonts w:ascii="仿宋_GB2312" w:hAnsi="仿宋_GB2312" w:cs="仿宋_GB2312" w:eastAsia="仿宋_GB2312"/>
                      <w:sz w:val="22"/>
                      <w:color w:val="000000"/>
                    </w:rPr>
                    <w:t>≥8寸液晶触控屏</w:t>
                  </w:r>
                  <w:r>
                    <w:br/>
                  </w:r>
                  <w:r>
                    <w:rPr>
                      <w:rFonts w:ascii="仿宋_GB2312" w:hAnsi="仿宋_GB2312" w:cs="仿宋_GB2312" w:eastAsia="仿宋_GB2312"/>
                      <w:sz w:val="22"/>
                      <w:color w:val="000000"/>
                    </w:rPr>
                    <w:t>人体感应：休眠状态下，人靠近自动亮屏</w:t>
                  </w:r>
                  <w:r>
                    <w:br/>
                  </w:r>
                  <w:r>
                    <w:rPr>
                      <w:rFonts w:ascii="仿宋_GB2312" w:hAnsi="仿宋_GB2312" w:cs="仿宋_GB2312" w:eastAsia="仿宋_GB2312"/>
                      <w:sz w:val="22"/>
                      <w:color w:val="000000"/>
                    </w:rPr>
                    <w:t>纸满报警：纸筒装满后自动提示</w:t>
                  </w:r>
                  <w:r>
                    <w:br/>
                  </w:r>
                  <w:r>
                    <w:rPr>
                      <w:rFonts w:ascii="仿宋_GB2312" w:hAnsi="仿宋_GB2312" w:cs="仿宋_GB2312" w:eastAsia="仿宋_GB2312"/>
                      <w:sz w:val="22"/>
                      <w:color w:val="000000"/>
                    </w:rPr>
                    <w:t>语音功能：智能化语音操作提示</w:t>
                  </w:r>
                  <w:r>
                    <w:br/>
                  </w:r>
                  <w:r>
                    <w:rPr>
                      <w:rFonts w:ascii="仿宋_GB2312" w:hAnsi="仿宋_GB2312" w:cs="仿宋_GB2312" w:eastAsia="仿宋_GB2312"/>
                      <w:sz w:val="22"/>
                      <w:color w:val="000000"/>
                    </w:rPr>
                    <w:t>垫片旋转：自动旋转，保证装订工整</w:t>
                  </w:r>
                  <w:r>
                    <w:br/>
                  </w:r>
                  <w:r>
                    <w:rPr>
                      <w:rFonts w:ascii="仿宋_GB2312" w:hAnsi="仿宋_GB2312" w:cs="仿宋_GB2312" w:eastAsia="仿宋_GB2312"/>
                      <w:sz w:val="22"/>
                      <w:color w:val="000000"/>
                    </w:rPr>
                    <w:t>堵刀提示：提示清理刀具或更换</w:t>
                  </w:r>
                  <w:r>
                    <w:br/>
                  </w:r>
                  <w:r>
                    <w:rPr>
                      <w:rFonts w:ascii="仿宋_GB2312" w:hAnsi="仿宋_GB2312" w:cs="仿宋_GB2312" w:eastAsia="仿宋_GB2312"/>
                      <w:sz w:val="22"/>
                      <w:color w:val="000000"/>
                    </w:rPr>
                    <w:t>前后卡位：前后可调，适合不同纸张大小</w:t>
                  </w:r>
                  <w:r>
                    <w:br/>
                  </w:r>
                  <w:r>
                    <w:rPr>
                      <w:rFonts w:ascii="仿宋_GB2312" w:hAnsi="仿宋_GB2312" w:cs="仿宋_GB2312" w:eastAsia="仿宋_GB2312"/>
                      <w:sz w:val="22"/>
                      <w:color w:val="000000"/>
                    </w:rPr>
                    <w:t>定位标尺：可视化直观精准定位</w:t>
                  </w:r>
                  <w:r>
                    <w:br/>
                  </w:r>
                  <w:r>
                    <w:rPr>
                      <w:rFonts w:ascii="仿宋_GB2312" w:hAnsi="仿宋_GB2312" w:cs="仿宋_GB2312" w:eastAsia="仿宋_GB2312"/>
                      <w:sz w:val="22"/>
                      <w:color w:val="000000"/>
                    </w:rPr>
                    <w:t>顶线方式：下顶线，打孔刀与穿线针固定，不需移动，保证同心度</w:t>
                  </w:r>
                  <w:r>
                    <w:br/>
                  </w:r>
                  <w:r>
                    <w:rPr>
                      <w:rFonts w:ascii="仿宋_GB2312" w:hAnsi="仿宋_GB2312" w:cs="仿宋_GB2312" w:eastAsia="仿宋_GB2312"/>
                      <w:sz w:val="22"/>
                      <w:color w:val="000000"/>
                    </w:rPr>
                    <w:t>装订幅面</w:t>
                  </w:r>
                  <w:r>
                    <w:rPr>
                      <w:rFonts w:ascii="仿宋_GB2312" w:hAnsi="仿宋_GB2312" w:cs="仿宋_GB2312" w:eastAsia="仿宋_GB2312"/>
                      <w:sz w:val="22"/>
                      <w:color w:val="000000"/>
                    </w:rPr>
                    <w:t>≥380mm</w:t>
                  </w:r>
                  <w:r>
                    <w:br/>
                  </w:r>
                  <w:r>
                    <w:rPr>
                      <w:rFonts w:ascii="仿宋_GB2312" w:hAnsi="仿宋_GB2312" w:cs="仿宋_GB2312" w:eastAsia="仿宋_GB2312"/>
                      <w:sz w:val="22"/>
                      <w:color w:val="000000"/>
                    </w:rPr>
                    <w:t>前后边距：无限调节</w:t>
                  </w:r>
                  <w:r>
                    <w:br/>
                  </w:r>
                  <w:r>
                    <w:rPr>
                      <w:rFonts w:ascii="仿宋_GB2312" w:hAnsi="仿宋_GB2312" w:cs="仿宋_GB2312" w:eastAsia="仿宋_GB2312"/>
                      <w:sz w:val="22"/>
                      <w:color w:val="000000"/>
                    </w:rPr>
                    <w:t>适用钻刀（中空特种钻刀）：</w:t>
                  </w:r>
                  <w:r>
                    <w:br/>
                  </w:r>
                  <w:r>
                    <w:rPr>
                      <w:rFonts w:ascii="仿宋_GB2312" w:hAnsi="仿宋_GB2312" w:cs="仿宋_GB2312" w:eastAsia="仿宋_GB2312"/>
                      <w:sz w:val="22"/>
                      <w:color w:val="000000"/>
                    </w:rPr>
                    <w:t>钻刀：</w:t>
                  </w:r>
                  <w:r>
                    <w:rPr>
                      <w:rFonts w:ascii="仿宋_GB2312" w:hAnsi="仿宋_GB2312" w:cs="仿宋_GB2312" w:eastAsia="仿宋_GB2312"/>
                      <w:sz w:val="22"/>
                      <w:color w:val="000000"/>
                    </w:rPr>
                    <w:t xml:space="preserve">Φ4*50、Φ5*50、Φ6*50 </w:t>
                  </w:r>
                  <w:r>
                    <w:br/>
                  </w:r>
                  <w:r>
                    <w:rPr>
                      <w:rFonts w:ascii="仿宋_GB2312" w:hAnsi="仿宋_GB2312" w:cs="仿宋_GB2312" w:eastAsia="仿宋_GB2312"/>
                      <w:sz w:val="22"/>
                      <w:color w:val="000000"/>
                    </w:rPr>
                    <w:t>打孔厚度：</w:t>
                  </w:r>
                  <w:r>
                    <w:rPr>
                      <w:rFonts w:ascii="仿宋_GB2312" w:hAnsi="仿宋_GB2312" w:cs="仿宋_GB2312" w:eastAsia="仿宋_GB2312"/>
                      <w:sz w:val="22"/>
                      <w:color w:val="000000"/>
                    </w:rPr>
                    <w:t>0-50mm(注：不同型号钻刀打孔厚度不一)</w:t>
                  </w:r>
                  <w:r>
                    <w:br/>
                  </w:r>
                  <w:r>
                    <w:rPr>
                      <w:rFonts w:ascii="仿宋_GB2312" w:hAnsi="仿宋_GB2312" w:cs="仿宋_GB2312" w:eastAsia="仿宋_GB2312"/>
                      <w:sz w:val="22"/>
                      <w:color w:val="000000"/>
                    </w:rPr>
                    <w:t>三孔孔距</w:t>
                  </w:r>
                  <w:r>
                    <w:rPr>
                      <w:rFonts w:ascii="仿宋_GB2312" w:hAnsi="仿宋_GB2312" w:cs="仿宋_GB2312" w:eastAsia="仿宋_GB2312"/>
                      <w:sz w:val="22"/>
                      <w:color w:val="000000"/>
                    </w:rPr>
                    <w:t xml:space="preserve">≥83mm </w:t>
                  </w:r>
                  <w:r>
                    <w:br/>
                  </w:r>
                  <w:r>
                    <w:rPr>
                      <w:rFonts w:ascii="仿宋_GB2312" w:hAnsi="仿宋_GB2312" w:cs="仿宋_GB2312" w:eastAsia="仿宋_GB2312"/>
                      <w:sz w:val="22"/>
                      <w:color w:val="000000"/>
                    </w:rPr>
                    <w:t>打孔速度</w:t>
                  </w:r>
                  <w:r>
                    <w:rPr>
                      <w:rFonts w:ascii="仿宋_GB2312" w:hAnsi="仿宋_GB2312" w:cs="仿宋_GB2312" w:eastAsia="仿宋_GB2312"/>
                      <w:sz w:val="22"/>
                      <w:color w:val="000000"/>
                    </w:rPr>
                    <w:t xml:space="preserve">≥15s </w:t>
                  </w:r>
                  <w:r>
                    <w:br/>
                  </w:r>
                  <w:r>
                    <w:rPr>
                      <w:rFonts w:ascii="仿宋_GB2312" w:hAnsi="仿宋_GB2312" w:cs="仿宋_GB2312" w:eastAsia="仿宋_GB2312"/>
                      <w:sz w:val="22"/>
                      <w:color w:val="000000"/>
                    </w:rPr>
                    <w:t>打孔</w:t>
                  </w:r>
                  <w:r>
                    <w:rPr>
                      <w:rFonts w:ascii="仿宋_GB2312" w:hAnsi="仿宋_GB2312" w:cs="仿宋_GB2312" w:eastAsia="仿宋_GB2312"/>
                      <w:sz w:val="22"/>
                      <w:color w:val="000000"/>
                    </w:rPr>
                    <w:t>+装订≤26s</w:t>
                  </w:r>
                  <w:r>
                    <w:br/>
                  </w:r>
                  <w:r>
                    <w:rPr>
                      <w:rFonts w:ascii="仿宋_GB2312" w:hAnsi="仿宋_GB2312" w:cs="仿宋_GB2312" w:eastAsia="仿宋_GB2312"/>
                      <w:sz w:val="22"/>
                      <w:color w:val="000000"/>
                    </w:rPr>
                    <w:t>功率：</w:t>
                  </w:r>
                  <w:r>
                    <w:rPr>
                      <w:rFonts w:ascii="仿宋_GB2312" w:hAnsi="仿宋_GB2312" w:cs="仿宋_GB2312" w:eastAsia="仿宋_GB2312"/>
                      <w:sz w:val="22"/>
                      <w:color w:val="000000"/>
                    </w:rPr>
                    <w:t>≤400W</w:t>
                  </w:r>
                  <w:r>
                    <w:br/>
                  </w:r>
                  <w:r>
                    <w:rPr>
                      <w:rFonts w:ascii="仿宋_GB2312" w:hAnsi="仿宋_GB2312" w:cs="仿宋_GB2312" w:eastAsia="仿宋_GB2312"/>
                      <w:sz w:val="22"/>
                      <w:color w:val="000000"/>
                    </w:rPr>
                    <w:t>电压：</w:t>
                  </w:r>
                  <w:r>
                    <w:rPr>
                      <w:rFonts w:ascii="仿宋_GB2312" w:hAnsi="仿宋_GB2312" w:cs="仿宋_GB2312" w:eastAsia="仿宋_GB2312"/>
                      <w:sz w:val="22"/>
                      <w:color w:val="000000"/>
                    </w:rPr>
                    <w:t xml:space="preserve">220V/50HZ  </w:t>
                  </w:r>
                  <w:r>
                    <w:br/>
                  </w:r>
                  <w:r>
                    <w:rPr>
                      <w:rFonts w:ascii="仿宋_GB2312" w:hAnsi="仿宋_GB2312" w:cs="仿宋_GB2312" w:eastAsia="仿宋_GB2312"/>
                      <w:sz w:val="22"/>
                      <w:color w:val="000000"/>
                    </w:rPr>
                    <w:t>工作台尺寸</w:t>
                  </w:r>
                  <w:r>
                    <w:rPr>
                      <w:rFonts w:ascii="仿宋_GB2312" w:hAnsi="仿宋_GB2312" w:cs="仿宋_GB2312" w:eastAsia="仿宋_GB2312"/>
                      <w:sz w:val="22"/>
                      <w:color w:val="000000"/>
                    </w:rPr>
                    <w:t>≥483*508mm（含延长板）</w:t>
                  </w:r>
                  <w:r>
                    <w:br/>
                  </w:r>
                  <w:r>
                    <w:rPr>
                      <w:rFonts w:ascii="仿宋_GB2312" w:hAnsi="仿宋_GB2312" w:cs="仿宋_GB2312" w:eastAsia="仿宋_GB2312"/>
                      <w:sz w:val="22"/>
                      <w:color w:val="000000"/>
                    </w:rPr>
                    <w:t>整理台尺寸</w:t>
                  </w:r>
                  <w:r>
                    <w:rPr>
                      <w:rFonts w:ascii="仿宋_GB2312" w:hAnsi="仿宋_GB2312" w:cs="仿宋_GB2312" w:eastAsia="仿宋_GB2312"/>
                      <w:sz w:val="22"/>
                      <w:color w:val="000000"/>
                    </w:rPr>
                    <w:t>≥280*394mm</w:t>
                  </w:r>
                  <w:r>
                    <w:br/>
                  </w:r>
                  <w:r>
                    <w:rPr>
                      <w:rFonts w:ascii="仿宋_GB2312" w:hAnsi="仿宋_GB2312" w:cs="仿宋_GB2312" w:eastAsia="仿宋_GB2312"/>
                      <w:sz w:val="22"/>
                      <w:color w:val="000000"/>
                    </w:rPr>
                    <w:t>碎纸能力</w:t>
                  </w:r>
                  <w:r>
                    <w:rPr>
                      <w:rFonts w:ascii="仿宋_GB2312" w:hAnsi="仿宋_GB2312" w:cs="仿宋_GB2312" w:eastAsia="仿宋_GB2312"/>
                      <w:sz w:val="22"/>
                      <w:color w:val="000000"/>
                    </w:rPr>
                    <w:t>≥8张（70g/m²纸）</w:t>
                  </w:r>
                  <w:r>
                    <w:br/>
                  </w:r>
                  <w:r>
                    <w:rPr>
                      <w:rFonts w:ascii="仿宋_GB2312" w:hAnsi="仿宋_GB2312" w:cs="仿宋_GB2312" w:eastAsia="仿宋_GB2312"/>
                      <w:sz w:val="22"/>
                      <w:color w:val="000000"/>
                    </w:rPr>
                    <w:t>碎纸速度</w:t>
                  </w:r>
                  <w:r>
                    <w:rPr>
                      <w:rFonts w:ascii="仿宋_GB2312" w:hAnsi="仿宋_GB2312" w:cs="仿宋_GB2312" w:eastAsia="仿宋_GB2312"/>
                      <w:sz w:val="22"/>
                      <w:color w:val="000000"/>
                    </w:rPr>
                    <w:t>≥2.5米/每分钟</w:t>
                  </w:r>
                  <w:r>
                    <w:br/>
                  </w:r>
                  <w:r>
                    <w:rPr>
                      <w:rFonts w:ascii="仿宋_GB2312" w:hAnsi="仿宋_GB2312" w:cs="仿宋_GB2312" w:eastAsia="仿宋_GB2312"/>
                      <w:sz w:val="22"/>
                      <w:color w:val="000000"/>
                    </w:rPr>
                    <w:t>碎纸效果</w:t>
                  </w:r>
                  <w:r>
                    <w:rPr>
                      <w:rFonts w:ascii="仿宋_GB2312" w:hAnsi="仿宋_GB2312" w:cs="仿宋_GB2312" w:eastAsia="仿宋_GB2312"/>
                      <w:sz w:val="22"/>
                      <w:color w:val="000000"/>
                    </w:rPr>
                    <w:t>≥3*15mm</w:t>
                  </w:r>
                  <w:r>
                    <w:br/>
                  </w:r>
                  <w:r>
                    <w:rPr>
                      <w:rFonts w:ascii="仿宋_GB2312" w:hAnsi="仿宋_GB2312" w:cs="仿宋_GB2312" w:eastAsia="仿宋_GB2312"/>
                      <w:sz w:val="22"/>
                      <w:color w:val="000000"/>
                    </w:rPr>
                    <w:t>纸筒容量</w:t>
                  </w:r>
                  <w:r>
                    <w:rPr>
                      <w:rFonts w:ascii="仿宋_GB2312" w:hAnsi="仿宋_GB2312" w:cs="仿宋_GB2312" w:eastAsia="仿宋_GB2312"/>
                      <w:sz w:val="22"/>
                      <w:color w:val="000000"/>
                    </w:rPr>
                    <w:t>≥18升</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档案盒打印机</w:t>
                  </w:r>
                </w:p>
              </w:tc>
              <w:tc>
                <w:tcPr>
                  <w:tcW w:type="dxa" w:w="2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档案盒、卷皮打印；</w:t>
                  </w:r>
                  <w:r>
                    <w:br/>
                  </w:r>
                  <w:r>
                    <w:rPr>
                      <w:rFonts w:ascii="仿宋_GB2312" w:hAnsi="仿宋_GB2312" w:cs="仿宋_GB2312" w:eastAsia="仿宋_GB2312"/>
                      <w:sz w:val="22"/>
                      <w:color w:val="000000"/>
                    </w:rPr>
                    <w:t>专用打软件，支持系统</w:t>
                  </w:r>
                  <w:r>
                    <w:rPr>
                      <w:rFonts w:ascii="仿宋_GB2312" w:hAnsi="仿宋_GB2312" w:cs="仿宋_GB2312" w:eastAsia="仿宋_GB2312"/>
                      <w:sz w:val="22"/>
                      <w:color w:val="000000"/>
                    </w:rPr>
                    <w:t>EXCEL批量导入打印，提供软件著作证明；</w:t>
                  </w:r>
                  <w:r>
                    <w:br/>
                  </w:r>
                  <w:r>
                    <w:rPr>
                      <w:rFonts w:ascii="仿宋_GB2312" w:hAnsi="仿宋_GB2312" w:cs="仿宋_GB2312" w:eastAsia="仿宋_GB2312"/>
                      <w:sz w:val="22"/>
                      <w:color w:val="000000"/>
                    </w:rPr>
                    <w:t>支持</w:t>
                  </w:r>
                  <w:r>
                    <w:rPr>
                      <w:rFonts w:ascii="仿宋_GB2312" w:hAnsi="仿宋_GB2312" w:cs="仿宋_GB2312" w:eastAsia="仿宋_GB2312"/>
                      <w:sz w:val="22"/>
                      <w:color w:val="000000"/>
                    </w:rPr>
                    <w:t>CoverPrinter智能打印；</w:t>
                  </w:r>
                  <w:r>
                    <w:br/>
                  </w:r>
                  <w:r>
                    <w:rPr>
                      <w:rFonts w:ascii="仿宋_GB2312" w:hAnsi="仿宋_GB2312" w:cs="仿宋_GB2312" w:eastAsia="仿宋_GB2312"/>
                      <w:sz w:val="22"/>
                      <w:color w:val="000000"/>
                    </w:rPr>
                    <w:t>支持文本框大小、位置可直接输入数值修改调整；</w:t>
                  </w:r>
                  <w:r>
                    <w:br/>
                  </w:r>
                  <w:r>
                    <w:rPr>
                      <w:rFonts w:ascii="仿宋_GB2312" w:hAnsi="仿宋_GB2312" w:cs="仿宋_GB2312" w:eastAsia="仿宋_GB2312"/>
                      <w:sz w:val="22"/>
                      <w:color w:val="000000"/>
                    </w:rPr>
                    <w:t>支持可视化制作模板；</w:t>
                  </w:r>
                  <w:r>
                    <w:br/>
                  </w:r>
                  <w:r>
                    <w:rPr>
                      <w:rFonts w:ascii="仿宋_GB2312" w:hAnsi="仿宋_GB2312" w:cs="仿宋_GB2312" w:eastAsia="仿宋_GB2312"/>
                      <w:sz w:val="22"/>
                      <w:color w:val="000000"/>
                    </w:rPr>
                    <w:t>条码格式多样化，文字格式多样选择，日期格式可选。</w:t>
                  </w:r>
                  <w:r>
                    <w:br/>
                  </w:r>
                  <w:r>
                    <w:rPr>
                      <w:rFonts w:ascii="仿宋_GB2312" w:hAnsi="仿宋_GB2312" w:cs="仿宋_GB2312" w:eastAsia="仿宋_GB2312"/>
                      <w:sz w:val="22"/>
                      <w:color w:val="000000"/>
                    </w:rPr>
                    <w:t>适应纸张厚度：</w:t>
                  </w:r>
                  <w:r>
                    <w:rPr>
                      <w:rFonts w:ascii="仿宋_GB2312" w:hAnsi="仿宋_GB2312" w:cs="仿宋_GB2312" w:eastAsia="仿宋_GB2312"/>
                      <w:sz w:val="22"/>
                      <w:color w:val="000000"/>
                    </w:rPr>
                    <w:t>0.1-3mm；</w:t>
                  </w:r>
                  <w:r>
                    <w:br/>
                  </w:r>
                  <w:r>
                    <w:rPr>
                      <w:rFonts w:ascii="仿宋_GB2312" w:hAnsi="仿宋_GB2312" w:cs="仿宋_GB2312" w:eastAsia="仿宋_GB2312"/>
                      <w:sz w:val="22"/>
                      <w:color w:val="000000"/>
                    </w:rPr>
                    <w:t>可打印幅面：</w:t>
                  </w:r>
                  <w:r>
                    <w:rPr>
                      <w:rFonts w:ascii="仿宋_GB2312" w:hAnsi="仿宋_GB2312" w:cs="仿宋_GB2312" w:eastAsia="仿宋_GB2312"/>
                      <w:sz w:val="22"/>
                      <w:color w:val="000000"/>
                    </w:rPr>
                    <w:t>A4、A3、A3+，支持A4幅面无限长连续纸；</w:t>
                  </w:r>
                  <w:r>
                    <w:br/>
                  </w:r>
                  <w:r>
                    <w:rPr>
                      <w:rFonts w:ascii="仿宋_GB2312" w:hAnsi="仿宋_GB2312" w:cs="仿宋_GB2312" w:eastAsia="仿宋_GB2312"/>
                      <w:sz w:val="22"/>
                      <w:color w:val="000000"/>
                    </w:rPr>
                    <w:t>热转印技术，噪音极低；</w:t>
                  </w:r>
                  <w:r>
                    <w:br/>
                  </w:r>
                  <w:r>
                    <w:rPr>
                      <w:rFonts w:ascii="仿宋_GB2312" w:hAnsi="仿宋_GB2312" w:cs="仿宋_GB2312" w:eastAsia="仿宋_GB2312"/>
                      <w:sz w:val="22"/>
                      <w:color w:val="000000"/>
                    </w:rPr>
                    <w:t>打印速度：</w:t>
                  </w:r>
                  <w:r>
                    <w:rPr>
                      <w:rFonts w:ascii="仿宋_GB2312" w:hAnsi="仿宋_GB2312" w:cs="仿宋_GB2312" w:eastAsia="仿宋_GB2312"/>
                      <w:sz w:val="22"/>
                      <w:color w:val="000000"/>
                    </w:rPr>
                    <w:t>≥360个/小时；</w:t>
                  </w:r>
                  <w:r>
                    <w:br/>
                  </w:r>
                  <w:r>
                    <w:rPr>
                      <w:rFonts w:ascii="仿宋_GB2312" w:hAnsi="仿宋_GB2312" w:cs="仿宋_GB2312" w:eastAsia="仿宋_GB2312"/>
                      <w:sz w:val="22"/>
                      <w:color w:val="000000"/>
                    </w:rPr>
                    <w:t>打印宽度：</w:t>
                  </w:r>
                  <w:r>
                    <w:rPr>
                      <w:rFonts w:ascii="仿宋_GB2312" w:hAnsi="仿宋_GB2312" w:cs="仿宋_GB2312" w:eastAsia="仿宋_GB2312"/>
                      <w:sz w:val="22"/>
                      <w:color w:val="000000"/>
                    </w:rPr>
                    <w:t>252MM；</w:t>
                  </w:r>
                  <w:r>
                    <w:br/>
                  </w:r>
                  <w:r>
                    <w:rPr>
                      <w:rFonts w:ascii="仿宋_GB2312" w:hAnsi="仿宋_GB2312" w:cs="仿宋_GB2312" w:eastAsia="仿宋_GB2312"/>
                      <w:sz w:val="22"/>
                      <w:color w:val="000000"/>
                    </w:rPr>
                    <w:t>蜡基渗入式，字迹可保长久保存；</w:t>
                  </w:r>
                  <w:r>
                    <w:br/>
                  </w:r>
                  <w:r>
                    <w:rPr>
                      <w:rFonts w:ascii="仿宋_GB2312" w:hAnsi="仿宋_GB2312" w:cs="仿宋_GB2312" w:eastAsia="仿宋_GB2312"/>
                      <w:sz w:val="22"/>
                      <w:color w:val="000000"/>
                    </w:rPr>
                    <w:t>字迹清晰耐刮，即打即干，遇水不化；</w:t>
                  </w:r>
                  <w:r>
                    <w:br/>
                  </w:r>
                  <w:r>
                    <w:rPr>
                      <w:rFonts w:ascii="仿宋_GB2312" w:hAnsi="仿宋_GB2312" w:cs="仿宋_GB2312" w:eastAsia="仿宋_GB2312"/>
                      <w:sz w:val="22"/>
                      <w:color w:val="000000"/>
                    </w:rPr>
                    <w:t>支持</w:t>
                  </w:r>
                  <w:r>
                    <w:rPr>
                      <w:rFonts w:ascii="仿宋_GB2312" w:hAnsi="仿宋_GB2312" w:cs="仿宋_GB2312" w:eastAsia="仿宋_GB2312"/>
                      <w:sz w:val="22"/>
                      <w:color w:val="000000"/>
                    </w:rPr>
                    <w:t>0-90mm背脊宽度的档案盒打印；</w:t>
                  </w:r>
                  <w:r>
                    <w:br/>
                  </w:r>
                  <w:r>
                    <w:rPr>
                      <w:rFonts w:ascii="仿宋_GB2312" w:hAnsi="仿宋_GB2312" w:cs="仿宋_GB2312" w:eastAsia="仿宋_GB2312"/>
                      <w:sz w:val="22"/>
                      <w:color w:val="000000"/>
                    </w:rPr>
                    <w:t>后边缘检测传感器，定位准确；</w:t>
                  </w:r>
                  <w:r>
                    <w:br/>
                  </w:r>
                  <w:r>
                    <w:rPr>
                      <w:rFonts w:ascii="仿宋_GB2312" w:hAnsi="仿宋_GB2312" w:cs="仿宋_GB2312" w:eastAsia="仿宋_GB2312"/>
                      <w:sz w:val="22"/>
                      <w:color w:val="000000"/>
                    </w:rPr>
                    <w:t>出纸方式：前进后出或者前进前出；</w:t>
                  </w:r>
                  <w:r>
                    <w:br/>
                  </w:r>
                  <w:r>
                    <w:rPr>
                      <w:rFonts w:ascii="仿宋_GB2312" w:hAnsi="仿宋_GB2312" w:cs="仿宋_GB2312" w:eastAsia="仿宋_GB2312"/>
                      <w:sz w:val="22"/>
                      <w:color w:val="000000"/>
                    </w:rPr>
                    <w:t>支持触摸显示屏，并显示设备各种状态；</w:t>
                  </w:r>
                  <w:r>
                    <w:br/>
                  </w:r>
                  <w:r>
                    <w:rPr>
                      <w:rFonts w:ascii="仿宋_GB2312" w:hAnsi="仿宋_GB2312" w:cs="仿宋_GB2312" w:eastAsia="仿宋_GB2312"/>
                      <w:sz w:val="22"/>
                      <w:color w:val="000000"/>
                    </w:rPr>
                    <w:t>数据传输：</w:t>
                  </w:r>
                  <w:r>
                    <w:rPr>
                      <w:rFonts w:ascii="仿宋_GB2312" w:hAnsi="仿宋_GB2312" w:cs="仿宋_GB2312" w:eastAsia="仿宋_GB2312"/>
                      <w:sz w:val="22"/>
                      <w:color w:val="000000"/>
                    </w:rPr>
                    <w:t>USB2.0高速传输；</w:t>
                  </w:r>
                  <w:r>
                    <w:br/>
                  </w:r>
                  <w:r>
                    <w:rPr>
                      <w:rFonts w:ascii="仿宋_GB2312" w:hAnsi="仿宋_GB2312" w:cs="仿宋_GB2312" w:eastAsia="仿宋_GB2312"/>
                      <w:sz w:val="22"/>
                      <w:color w:val="000000"/>
                    </w:rPr>
                    <w:t>支持选配功能：可进行可视化模板制作、书刊成册扫描</w:t>
                  </w:r>
                  <w:r>
                    <w:rPr>
                      <w:rFonts w:ascii="仿宋_GB2312" w:hAnsi="仿宋_GB2312" w:cs="仿宋_GB2312" w:eastAsia="仿宋_GB2312"/>
                      <w:sz w:val="22"/>
                      <w:color w:val="000000"/>
                    </w:rPr>
                    <w:t>,可进行RFID读写功能；</w:t>
                  </w:r>
                  <w:r>
                    <w:br/>
                  </w:r>
                  <w:r>
                    <w:rPr>
                      <w:rFonts w:ascii="仿宋_GB2312" w:hAnsi="仿宋_GB2312" w:cs="仿宋_GB2312" w:eastAsia="仿宋_GB2312"/>
                      <w:sz w:val="22"/>
                      <w:color w:val="000000"/>
                    </w:rPr>
                    <w:t>电子档案生成管理平台标准接口；</w:t>
                  </w:r>
                  <w:r>
                    <w:br/>
                  </w:r>
                  <w:r>
                    <w:rPr>
                      <w:rFonts w:ascii="仿宋_GB2312" w:hAnsi="仿宋_GB2312" w:cs="仿宋_GB2312" w:eastAsia="仿宋_GB2312"/>
                      <w:sz w:val="22"/>
                      <w:color w:val="000000"/>
                    </w:rPr>
                    <w:t>为国家强制性产品认证（</w:t>
                  </w:r>
                  <w:r>
                    <w:rPr>
                      <w:rFonts w:ascii="仿宋_GB2312" w:hAnsi="仿宋_GB2312" w:cs="仿宋_GB2312" w:eastAsia="仿宋_GB2312"/>
                      <w:sz w:val="22"/>
                      <w:color w:val="000000"/>
                    </w:rPr>
                    <w:t>CCC）产品、节能产品，提供该产品的证书复印件;</w:t>
                  </w:r>
                  <w:r>
                    <w:br/>
                  </w:r>
                  <w:r>
                    <w:rPr>
                      <w:rFonts w:ascii="仿宋_GB2312" w:hAnsi="仿宋_GB2312" w:cs="仿宋_GB2312" w:eastAsia="仿宋_GB2312"/>
                      <w:sz w:val="22"/>
                      <w:color w:val="000000"/>
                    </w:rPr>
                    <w:t>支持国产系统适配，提供国产</w:t>
                  </w:r>
                  <w:r>
                    <w:rPr>
                      <w:rFonts w:ascii="仿宋_GB2312" w:hAnsi="仿宋_GB2312" w:cs="仿宋_GB2312" w:eastAsia="仿宋_GB2312"/>
                      <w:sz w:val="22"/>
                      <w:color w:val="000000"/>
                    </w:rPr>
                    <w:t>操作</w:t>
                  </w:r>
                  <w:r>
                    <w:rPr>
                      <w:rFonts w:ascii="仿宋_GB2312" w:hAnsi="仿宋_GB2312" w:cs="仿宋_GB2312" w:eastAsia="仿宋_GB2312"/>
                      <w:sz w:val="22"/>
                      <w:color w:val="000000"/>
                    </w:rPr>
                    <w:t>系统匹配互认证书</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国产品牌，要求投标时提供生产厂家授权书原件和由生产厂家出具售后服务承诺函原件。</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扫描仪</w:t>
                  </w:r>
                </w:p>
              </w:tc>
              <w:tc>
                <w:tcPr>
                  <w:tcW w:type="dxa" w:w="2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A4馈纸式扫描仪,支持国产操作系统</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扫描仪</w:t>
                  </w:r>
                </w:p>
              </w:tc>
              <w:tc>
                <w:tcPr>
                  <w:tcW w:type="dxa" w:w="2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A3平板扫描仪,支持国产操作系统</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打印机</w:t>
                  </w:r>
                </w:p>
              </w:tc>
              <w:tc>
                <w:tcPr>
                  <w:tcW w:type="dxa" w:w="2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A4彩色激光多功能一体机（机要专用设备），支持国产化操作系统</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机柜</w:t>
                  </w:r>
                </w:p>
              </w:tc>
              <w:tc>
                <w:tcPr>
                  <w:tcW w:type="dxa" w:w="2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42U网络机柜，含双pdu</w:t>
                  </w:r>
                </w:p>
              </w:tc>
            </w:tr>
          </w:tbl>
          <w:p>
            <w:pPr>
              <w:pStyle w:val="null3"/>
              <w:ind w:firstLine="600"/>
              <w:jc w:val="both"/>
            </w:pPr>
            <w:r>
              <w:rPr>
                <w:rFonts w:ascii="仿宋_GB2312" w:hAnsi="仿宋_GB2312" w:cs="仿宋_GB2312" w:eastAsia="仿宋_GB2312"/>
                <w:sz w:val="24"/>
                <w:color w:val="C00000"/>
              </w:rPr>
              <w:t>注：本章中加</w:t>
            </w:r>
            <w:r>
              <w:rPr>
                <w:rFonts w:ascii="仿宋_GB2312" w:hAnsi="仿宋_GB2312" w:cs="仿宋_GB2312" w:eastAsia="仿宋_GB2312"/>
                <w:sz w:val="24"/>
                <w:color w:val="C00000"/>
              </w:rPr>
              <w:t>“★”条款为实质性条款，出现负偏离或未响应，将按照无效投标处理。</w:t>
            </w:r>
          </w:p>
          <w:p>
            <w:pPr>
              <w:pStyle w:val="null3"/>
              <w:ind w:firstLine="600"/>
              <w:jc w:val="both"/>
            </w:pPr>
            <w:r>
              <w:rPr>
                <w:rFonts w:ascii="仿宋_GB2312" w:hAnsi="仿宋_GB2312" w:cs="仿宋_GB2312" w:eastAsia="仿宋_GB2312"/>
              </w:rPr>
              <w:t xml:space="preserve"> </w:t>
            </w:r>
          </w:p>
          <w:p>
            <w:pPr>
              <w:pStyle w:val="null3"/>
              <w:ind w:firstLine="600"/>
              <w:jc w:val="both"/>
            </w:pPr>
            <w:r>
              <w:rPr>
                <w:rFonts w:ascii="仿宋_GB2312" w:hAnsi="仿宋_GB2312" w:cs="仿宋_GB2312" w:eastAsia="仿宋_GB2312"/>
              </w:rPr>
              <w:t xml:space="preserve"> </w:t>
            </w:r>
          </w:p>
          <w:p>
            <w:pPr>
              <w:pStyle w:val="null3"/>
              <w:ind w:firstLine="600"/>
              <w:jc w:val="both"/>
            </w:pPr>
            <w:r>
              <w:rPr>
                <w:rFonts w:ascii="仿宋_GB2312" w:hAnsi="仿宋_GB2312" w:cs="仿宋_GB2312" w:eastAsia="仿宋_GB2312"/>
              </w:rPr>
              <w:t xml:space="preserve"> </w:t>
            </w:r>
          </w:p>
          <w:p>
            <w:pPr>
              <w:pStyle w:val="null3"/>
              <w:ind w:firstLine="600"/>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自合同签订后30工作日,完成本项目的全部内容并交付采购人验收合格。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合同签订之日起5日内</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设备到货安装调试完成后5日内</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验收完成后5日内</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按照文件等服务指标进行逐项验收，各项指标均应符合验收标准及要求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自验收合格之日起，供应商为用户购置的所有产品提供3年原厂质保服务，软件产品提供3年免费升级、维护服务。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2、乙方未按协议要求提供服务或服务质量不能满足协议要求的，甲方应当将供应商违约的情况以及拟采取的措施以书面形式报政府采购监管部门，根据政府采购监管部门的处理意见，甲 方有权依据《民法典》有关条款及合同约定终止合同，并要求乙方承担违约责任。同时，政府采购监管部门有权依据《政府采购法》及相关法律法规对乙方的违法行为进行相应的处罚。3、由不可抗力因素造成无法按照原计划提供服务，双方互不追究违约责任。4、如有异议另行协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残疾人福利性单位声明函 中小企业声明函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提供法定代表人授权委托书及被授权人身份证（投标人为法定代表人时，须提交法定代表人证明书）；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经会计师事务所审计的2024年财务审计报告（至少包括资产负债表和利润表，成立时间至提交投标文件截止时间不足一年的可提供成立后任意时段的资产负债表）；或其开标前半年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w:t>
            </w:r>
          </w:p>
        </w:tc>
        <w:tc>
          <w:tcPr>
            <w:tcW w:type="dxa" w:w="3322"/>
          </w:tcPr>
          <w:p>
            <w:pPr>
              <w:pStyle w:val="null3"/>
            </w:pPr>
            <w:r>
              <w:rPr>
                <w:rFonts w:ascii="仿宋_GB2312" w:hAnsi="仿宋_GB2312" w:cs="仿宋_GB2312" w:eastAsia="仿宋_GB2312"/>
              </w:rPr>
              <w:t>提供投标截止日前半年内任意一个月的社会保障资金缴存单据或社保机构开具的社会保险参保缴费情况证明，依法不需要缴纳社会保障资金的单位应提供相关证明材料；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提供投标截止日前半年内任意一个月的纳税证明或完税证明，依法免税的单位应提供相关证明材料；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截止竞争性谈判文件递交截止时间之前，供应商不得在“信用中国” 网站（www.creditchina.gov.cn）中被列入失信被执行人、或被列入异常经营名录及重大税收违法失信主体、“ 中国政府采购网(www.ccgp.gov.cn)” 未被列入政府采购严重违法失信行为记录名单；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产品技术参数表 技术偏离表 分项报价表 标的清单 商务条款偏离表 技术响应方案说明</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未超过最高限价(单价限价)，无选择性报价。</w:t>
            </w:r>
          </w:p>
        </w:tc>
        <w:tc>
          <w:tcPr>
            <w:tcW w:type="dxa" w:w="1661"/>
          </w:tcPr>
          <w:p>
            <w:pPr>
              <w:pStyle w:val="null3"/>
            </w:pPr>
            <w:r>
              <w:rPr>
                <w:rFonts w:ascii="仿宋_GB2312" w:hAnsi="仿宋_GB2312" w:cs="仿宋_GB2312" w:eastAsia="仿宋_GB2312"/>
              </w:rPr>
              <w:t>响应文件封面 分项报价表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响应文件封面 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完全理解并响应谈判文件合同条款的要求，且未含有采购人不能接受的附加条件的。</w:t>
            </w:r>
          </w:p>
        </w:tc>
        <w:tc>
          <w:tcPr>
            <w:tcW w:type="dxa" w:w="1661"/>
          </w:tcPr>
          <w:p>
            <w:pPr>
              <w:pStyle w:val="null3"/>
            </w:pPr>
            <w:r>
              <w:rPr>
                <w:rFonts w:ascii="仿宋_GB2312" w:hAnsi="仿宋_GB2312" w:cs="仿宋_GB2312" w:eastAsia="仿宋_GB2312"/>
              </w:rPr>
              <w:t>响应文件封面 商务应答表 商务条款偏离表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符合谈判文件的实质性要求</w:t>
            </w:r>
          </w:p>
        </w:tc>
        <w:tc>
          <w:tcPr>
            <w:tcW w:type="dxa" w:w="3322"/>
          </w:tcPr>
          <w:p>
            <w:pPr>
              <w:pStyle w:val="null3"/>
            </w:pPr>
            <w:r>
              <w:rPr>
                <w:rFonts w:ascii="仿宋_GB2312" w:hAnsi="仿宋_GB2312" w:cs="仿宋_GB2312" w:eastAsia="仿宋_GB2312"/>
              </w:rPr>
              <w:t>符合谈判文件的实质性要求。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w:t>
      </w:r>
    </w:p>
    <w:p>
      <w:pPr>
        <w:pStyle w:val="null3"/>
        <w:ind w:firstLine="960"/>
      </w:pPr>
      <w:r>
        <w:rPr>
          <w:rFonts w:ascii="仿宋_GB2312" w:hAnsi="仿宋_GB2312" w:cs="仿宋_GB2312" w:eastAsia="仿宋_GB2312"/>
        </w:rPr>
        <w:t>详见附件：技术响应方案说明</w:t>
      </w:r>
    </w:p>
    <w:p>
      <w:pPr>
        <w:pStyle w:val="null3"/>
        <w:ind w:firstLine="960"/>
      </w:pPr>
      <w:r>
        <w:rPr>
          <w:rFonts w:ascii="仿宋_GB2312" w:hAnsi="仿宋_GB2312" w:cs="仿宋_GB2312" w:eastAsia="仿宋_GB2312"/>
        </w:rPr>
        <w:t>详见附件：商务条款偏离表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详见附件：014谈判货物采购合同.docx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