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版本号：JZZB-【2025】-4920250710001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“西安军采通”信息服务平台运维项目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JZZB-【2025】-49</w:t>
      </w:r>
      <w:r>
        <w:br/>
      </w:r>
      <w:r>
        <w:br/>
      </w:r>
      <w:r>
        <w:br/>
      </w:r>
    </w:p>
    <w:p>
      <w:pPr>
        <w:pStyle w:val="null3"/>
        <w:jc w:val="center"/>
        <w:outlineLvl w:val="2"/>
      </w:pPr>
      <w:r>
        <w:rPr>
          <w:rFonts w:ascii="仿宋_GB2312" w:hAnsi="仿宋_GB2312" w:cs="仿宋_GB2312" w:eastAsia="仿宋_GB2312"/>
          <w:sz w:val="28"/>
          <w:b/>
        </w:rPr>
        <w:t>西安市军民融合发展服务中心</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西安市军民融合发展服务中心</w:t>
      </w:r>
      <w:r>
        <w:rPr>
          <w:rFonts w:ascii="仿宋_GB2312" w:hAnsi="仿宋_GB2312" w:cs="仿宋_GB2312" w:eastAsia="仿宋_GB2312"/>
        </w:rPr>
        <w:t>委托，拟对</w:t>
      </w:r>
      <w:r>
        <w:rPr>
          <w:rFonts w:ascii="仿宋_GB2312" w:hAnsi="仿宋_GB2312" w:cs="仿宋_GB2312" w:eastAsia="仿宋_GB2312"/>
        </w:rPr>
        <w:t>“西安军采通”信息服务平台运维项目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“西安军采通”信息服务平台运维项目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军采通”信息服务平台客户端（含APP、PC端）现有功能运行提供技术支持，及时解决平台服务企业遇到的各类使用问题；实时更新我市中标企业数据库、融合企业信息库等进行；按照市军民融合发展服务中心业务需要，对“西安军采通”信息服务平台现有部分功能进行优化。依据市军民融合发展服务中心工作规划，对“西安军采通”信息服务平台进行功能升级，增加部分功能。基于“西安军采通”信息服务平台开展数据处理及分析工作，结合年度运维情况形成年度运行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采购包1（“西安军采通”信息服务平台运维项目）：属于专门面向小微企业采购。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1、法定代表人（主要负责人）委托授权书、身份证明：非法定代表人参加磋商，须提供法定代表人授权委托书及被授权人身份证原件；法定代表人参加磋商时,须提供法人身份证明书及法定代表人身份证原件</w:t>
      </w:r>
    </w:p>
    <w:p>
      <w:pPr>
        <w:pStyle w:val="null3"/>
      </w:pPr>
      <w:r>
        <w:rPr>
          <w:rFonts w:ascii="仿宋_GB2312" w:hAnsi="仿宋_GB2312" w:cs="仿宋_GB2312" w:eastAsia="仿宋_GB2312"/>
        </w:rPr>
        <w:t>2、信用记录审查结果：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3、中小企业声明函：本项目为专门面向小微企业采购项目须根据《政府采购促进中小企业发展管理办法》（财库﹝2020﹞46号）的规定提供《中小企业声明函》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西安市军民融合发展服务中心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西安市未央区红旗东路888号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西安市军民融合发展服务中心史老师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029-86615922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西安市未央区凤城五路与朱宏路十字秦创原软科中心A座20楼2001室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029-89332094/15829057760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招标代理服务费参照国家计委关于印发《招标代理服务收费管理暂行办法》的通知（计价格〔2002〕1980号）、国家发展改革委员会办公厅颁发的《关于招标代理服务收费有关问题的通知》（发改办价格〔2003〕857号）规定收取。服务费不足伍仟的按伍仟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西安市军民融合发展服务中心</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西安市军民融合发展服务中心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西安市军民融合发展服务中心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联系人：高翠翠</w:t>
      </w:r>
    </w:p>
    <w:p>
      <w:pPr>
        <w:pStyle w:val="null3"/>
      </w:pPr>
      <w:r>
        <w:rPr>
          <w:rFonts w:ascii="仿宋_GB2312" w:hAnsi="仿宋_GB2312" w:cs="仿宋_GB2312" w:eastAsia="仿宋_GB2312"/>
        </w:rPr>
        <w:t>联系电话：029-89332094</w:t>
      </w:r>
    </w:p>
    <w:p>
      <w:pPr>
        <w:pStyle w:val="null3"/>
      </w:pPr>
      <w:r>
        <w:rPr>
          <w:rFonts w:ascii="仿宋_GB2312" w:hAnsi="仿宋_GB2312" w:cs="仿宋_GB2312" w:eastAsia="仿宋_GB2312"/>
        </w:rPr>
        <w:t>地址：西安市未央区凤城五路与朱宏路十字秦创原软科中心20楼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军采通”信息服务平台客户端（含APP、PC端）现有功能运行提供技术支持，及时解决平台服务企业遇到的各类使用问题；实时更新我市中标企业数据库、融合企业信息库等进行；按照市军民融合发展服务中心业务需要，对“西安军采通”信息服务平台现有部分功能进行优化。依据市军民融合发展服务中心工作计划，对“西安军采通”信息服务平台进行功能升级，增加部分功能。基于“西安军采通”信息服务平台开展数据处理及分析工作，结合年度运维情况形成年度运行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“西安军采通”信息服务平台运维项目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标的名称：“西安军采通”信息服务平台运维项目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p>
            <w:pPr>
              <w:pStyle w:val="null3"/>
            </w:pPr>
            <w:r>
              <w:rPr>
                <w:rFonts w:ascii="仿宋_GB2312" w:hAnsi="仿宋_GB2312" w:cs="仿宋_GB2312" w:eastAsia="仿宋_GB2312"/>
              </w:rPr>
              <w:t>1.现有功能运维。对“西安军采通”信息服务平台客户端（含APP、PC端）现有功能运行提供技术支持，及时解决平台服务企业遇到的各类使用问题；实时更新我市中标企业数据库、融合企业信息库等进行；按照市军民融合发展服务中心业务需要，对“西安军采通”信息服务平台现有部分功能进行优化。</w:t>
            </w:r>
          </w:p>
          <w:p>
            <w:pPr>
              <w:pStyle w:val="null3"/>
            </w:pPr>
            <w:r>
              <w:rPr>
                <w:rFonts w:ascii="仿宋_GB2312" w:hAnsi="仿宋_GB2312" w:cs="仿宋_GB2312" w:eastAsia="仿宋_GB2312"/>
              </w:rPr>
              <w:t>2.平台功能升级。依据市军民融合发展服务中心工作计划，对“西安军采通”信息服务平台进行功能升级，增加部分功能。</w:t>
            </w:r>
          </w:p>
          <w:p>
            <w:pPr>
              <w:pStyle w:val="null3"/>
            </w:pPr>
            <w:r>
              <w:rPr>
                <w:rFonts w:ascii="仿宋_GB2312" w:hAnsi="仿宋_GB2312" w:cs="仿宋_GB2312" w:eastAsia="仿宋_GB2312"/>
              </w:rPr>
              <w:t>3.数据分析。基于“西安军采通”信息服务平台开展数据处理及分析工作，结合年度运维情况形成年度运行报告。</w:t>
            </w:r>
          </w:p>
          <w:p>
            <w:pPr>
              <w:pStyle w:val="null3"/>
              <w:spacing w:after="195"/>
            </w:pPr>
            <w:r>
              <w:rPr>
                <w:rFonts w:ascii="仿宋_GB2312" w:hAnsi="仿宋_GB2312" w:cs="仿宋_GB2312" w:eastAsia="仿宋_GB2312"/>
              </w:rPr>
              <w:t>二、成果文件</w:t>
            </w:r>
          </w:p>
          <w:p>
            <w:pPr>
              <w:pStyle w:val="null3"/>
              <w:spacing w:after="195"/>
            </w:pPr>
            <w:r>
              <w:rPr>
                <w:rFonts w:ascii="仿宋_GB2312" w:hAnsi="仿宋_GB2312" w:cs="仿宋_GB2312" w:eastAsia="仿宋_GB2312"/>
              </w:rPr>
              <w:t>1.“西安军采通”现有各项功能（含客户端和管理端）正常运行，数据及时更新。</w:t>
            </w:r>
          </w:p>
          <w:p>
            <w:pPr>
              <w:pStyle w:val="null3"/>
              <w:spacing w:after="195"/>
            </w:pPr>
            <w:r>
              <w:rPr>
                <w:rFonts w:ascii="仿宋_GB2312" w:hAnsi="仿宋_GB2312" w:cs="仿宋_GB2312" w:eastAsia="仿宋_GB2312"/>
              </w:rPr>
              <w:t>2.按要求完成“西安军采通”信息服务平台功能升级，并上线运行。</w:t>
            </w:r>
          </w:p>
          <w:p>
            <w:pPr>
              <w:pStyle w:val="null3"/>
              <w:spacing w:after="195"/>
            </w:pPr>
            <w:r>
              <w:rPr>
                <w:rFonts w:ascii="仿宋_GB2312" w:hAnsi="仿宋_GB2312" w:cs="仿宋_GB2312" w:eastAsia="仿宋_GB2312"/>
              </w:rPr>
              <w:t>3.形成“西安军采通”年度运行报告。</w:t>
            </w:r>
          </w:p>
          <w:p>
            <w:pPr>
              <w:pStyle w:val="null3"/>
              <w:spacing w:after="195"/>
            </w:pPr>
            <w:r>
              <w:rPr>
                <w:rFonts w:ascii="仿宋_GB2312" w:hAnsi="仿宋_GB2312" w:cs="仿宋_GB2312" w:eastAsia="仿宋_GB2312"/>
              </w:rPr>
              <w:t>三、服务期：合同签订之日起至2025年12月20日。</w:t>
            </w:r>
          </w:p>
          <w:p>
            <w:pPr>
              <w:pStyle w:val="null3"/>
              <w:spacing w:after="195"/>
            </w:pPr>
            <w:r>
              <w:rPr>
                <w:rFonts w:ascii="仿宋_GB2312" w:hAnsi="仿宋_GB2312" w:cs="仿宋_GB2312" w:eastAsia="仿宋_GB2312"/>
              </w:rPr>
              <w:t>四、付款方式</w:t>
            </w:r>
          </w:p>
          <w:p>
            <w:pPr>
              <w:pStyle w:val="null3"/>
              <w:spacing w:after="195"/>
            </w:pPr>
            <w:r>
              <w:rPr>
                <w:rFonts w:ascii="仿宋_GB2312" w:hAnsi="仿宋_GB2312" w:cs="仿宋_GB2312" w:eastAsia="仿宋_GB2312"/>
              </w:rPr>
              <w:t>1.本合同签字生效后20日内，乙方向甲方出具正式发票，甲方向乙方支付项目金额的50%；</w:t>
            </w:r>
          </w:p>
          <w:p>
            <w:pPr>
              <w:pStyle w:val="null3"/>
              <w:spacing w:after="195"/>
            </w:pPr>
            <w:r>
              <w:rPr>
                <w:rFonts w:ascii="仿宋_GB2312" w:hAnsi="仿宋_GB2312" w:cs="仿宋_GB2312" w:eastAsia="仿宋_GB2312"/>
              </w:rPr>
              <w:t>2.乙方完成平台功能升级经验收合格后，乙方向甲方出具正式发票，甲方向乙方支付合同金额的40%；</w:t>
            </w:r>
          </w:p>
          <w:p>
            <w:pPr>
              <w:pStyle w:val="null3"/>
              <w:spacing w:after="195"/>
            </w:pPr>
            <w:r>
              <w:rPr>
                <w:rFonts w:ascii="仿宋_GB2312" w:hAnsi="仿宋_GB2312" w:cs="仿宋_GB2312" w:eastAsia="仿宋_GB2312"/>
              </w:rPr>
              <w:t>3.乙方完成平台年度运行报告经验收合格后，乙方向甲方出具正式发票，甲方向乙方支付合同金额的10%。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合同签订之日起-2025年12月20日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依据竞争性磋商文件、磋商响应文件、澄清表（函）、合同内容及附件文本；合同签订时国家及行业现行的标准和技术规范，自行组织验收。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合同签字生效后20日内</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完成平台功能升级经验收合格后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完成平台年度运行报告经验收合格后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本项目在履约过程中发生的争议，由甲、乙双方当事人协商解决，协商不成的提交西安仲裁委员会仲裁。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(1)为顺利推进政府采购电子化交易平台试点应用工作，供应商需要在线提交所有通过电子化交易平台实施的政府采购项目的响应文件，同时，线下提交响应文件正本壹份、副本贰份、电子版壹份 (U盘一套标明供应商名称，单独密封)。若电子响应文件与纸质响应文件不一致的，以纸质响应文件为准；若正本和副本不符，以正本为准。线下递交文件时间：详见本项目竞争性磋商公告文件截止时间；线下递交文件地点：西安市未央区凤城五路与朱宏路十字秦创原软科中心20楼。(2) 因文件关于合同签订时间无法修改，特在此处说明，成交供应商应当在成交通知书发出之日起25日内与采购人签订政府采购合同。(3) 因文件关于资格审查主体无法修改，特在此处说明 ，资格审查由陕西金泽盛业项目管理有限公司组建的资格审查小组依据法律法规和磋商文件的规定，对响应文件中的资格证明等进行审查，以确定投标人是否具备投标资格。(4)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1、具有独立承担民事责任能力的法人、其他组织或自然人，提供合法有效的统一社会信用代码营业执照（事业单位提供法人证书，自然人提供身份证，其他组织应提供合法登记证明文件）； 2、财务状况报告：提供2023年度或2024年度经审计的财务报告（成立时间至提交磋商响应文件截止时间不足一年的可提供成立后任意时段的资产负债表），或其基本存款账户开户银行出具的资信证明及基本账户信息证明或开户许可证； 3、社会保障资金缴纳证明：提供磋商截止时间前一年内已缴存的任意一个月的社会保障资金缴存单据或社保机构开具的社会保险参保缴费情况证明；依法不需要缴纳社会保障资金的应提供相关文件证明；  4、税收缴纳证明：提供磋商截止时间前一年内已缴纳任意一个月完税凭证或税务机关开具的完税证明（任意税种）；依法免税的应提供相关文件证明； 5、参加政府采购活动前3年内，在经营活动中没有重大违法记录的书面声明； 6、提供具有履行本合同所必需的专业技术能力的声明。</w:t>
            </w:r>
          </w:p>
        </w:tc>
        <w:tc>
          <w:tcPr>
            <w:tcW w:type="dxa" w:w="1661"/>
          </w:tcPr>
          <w:p>
            <w:pPr>
              <w:pStyle w:val="null3"/>
            </w:pPr>
            <w:r>
              <w:rPr>
                <w:rFonts w:ascii="仿宋_GB2312" w:hAnsi="仿宋_GB2312" w:cs="仿宋_GB2312" w:eastAsia="仿宋_GB2312"/>
              </w:rPr>
              <w:t>响应文件封面 中小企业声明函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（3）《国务院办公厅关于建立政府强制采购节能产品制度的通知》（国办发〔2007〕51号）； （4）《关于调整优化节能产品、环境标志产品政府采购执行机制的通知》（财库〔2019〕9号）、《关于印发环境标志产品政府采购品目清单的通知》（财库〔2019〕18号）、《关于印发节能产品政府采购品目清单的通知》（财库〔2019〕19号）； （5）《财政部、民政部、中国残疾人联合会关于促进残疾人就业政府采购政策的通知》（财库[2017]141号）； （6）《陕西省中小企业政府采购信用融资办法》（陕财办采〔2018〕23号）； （7）《陕西省财政厅关于进一步加大政府采购支持中小企业力度的通知》（陕财办采〔2022〕5号）、《陕西省财政厅关于落实政府采购支持中小企业政策有关事项的通知》（陕财办采函〔2022〕10号）； （8）如有最新颁布的政府采购政策，按最新的文件执行。 （9）本项目专门面向小微企业。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非法定代表人参加磋商，须提供法定代表人授权委托书及被授权人身份证原件；法定代表人参加磋商时,须提供法人身份证明书及法定代表人身份证原件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本项目为专门面向小微企业采购项目须根据《政府采购促进中小企业发展管理办法》（财库﹝2020﹞46号）的规定提供《中小企业声明函》</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法定代表人或其委托代理人签字并加盖单位公章</w:t>
            </w:r>
          </w:p>
        </w:tc>
        <w:tc>
          <w:tcPr>
            <w:tcW w:type="dxa" w:w="1661"/>
          </w:tcPr>
          <w:p>
            <w:pPr>
              <w:pStyle w:val="null3"/>
            </w:pPr>
            <w:r>
              <w:rPr>
                <w:rFonts w:ascii="仿宋_GB2312" w:hAnsi="仿宋_GB2312" w:cs="仿宋_GB2312" w:eastAsia="仿宋_GB2312"/>
              </w:rPr>
              <w:t>中小企业声明函 服务内容及服务要求应答表 报价表 商务应答表.docx 响应文件封面 分项报价表.docx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合同签订之日起-2025年12月20日</w:t>
            </w:r>
          </w:p>
        </w:tc>
        <w:tc>
          <w:tcPr>
            <w:tcW w:type="dxa" w:w="1661"/>
          </w:tcPr>
          <w:p>
            <w:pPr>
              <w:pStyle w:val="null3"/>
            </w:pPr>
            <w:r>
              <w:rPr>
                <w:rFonts w:ascii="仿宋_GB2312" w:hAnsi="仿宋_GB2312" w:cs="仿宋_GB2312" w:eastAsia="仿宋_GB2312"/>
              </w:rPr>
              <w:t>服务内容及服务要求应答表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未出现采购文件中规定的其他无效响应条款，或法律、法规规定的其他无效响应的情形。</w:t>
            </w:r>
          </w:p>
        </w:tc>
        <w:tc>
          <w:tcPr>
            <w:tcW w:type="dxa" w:w="1661"/>
          </w:tcPr>
          <w:p>
            <w:pPr>
              <w:pStyle w:val="null3"/>
            </w:pPr>
            <w:r>
              <w:rPr>
                <w:rFonts w:ascii="仿宋_GB2312" w:hAnsi="仿宋_GB2312" w:cs="仿宋_GB2312" w:eastAsia="仿宋_GB2312"/>
              </w:rPr>
              <w:t>响应文件封面 分项报价表.docx 供应商认为有必要补充说明的事项.docx 中小企业声明函 服务内容及服务要求应答表 标的清单 报价表 供应商资格证明文件.docx 商务应答表.docx 响应函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供应商针对本项目提供详细规范的项目运维实施方案，包括但不限于项目对平台的优化、升级改造方案、报告的形成、实施进度等内容。 1）方案科学合理，内容完善，切实可行，计(14-20]分； 2）方案完整，基本能满足采购人需求，计(6-14]分； 3）方案简单，不能确保项目顺利实施，计[1-6]分。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供应商对平台的整体运维需求具有深刻理解，能够及时了解、满足采购人的各项运维服务要求，同时能够对平台现状与运维需求进行深入的分析。 1）方案内容详尽，现状及需求分析到位，熟悉度高，计(7-10]分； 2）方案内容较为全面，现状及需求分析一般，熟悉程度一般，计(3-7]分； 3）方案内容未提供或内容缺失，现状及需求分析不到位，熟悉程度弱，计[1-3]分。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完善的质量保障解决方案（包括但不限于服务质量承诺、服务期限、合同签订后项目实施中的工作配合保障等方面)，承诺内容应包含不能完全履约时愿意接受采购人的各项处罚等，根据其保证措施详细程度进行综合赋分。 1）方案科学合理可行，可操作性强计分(10-15]分； 2）方案较合理计分，满足项目要求计分(5-10]分； 3）方案内容一般，基本满足项目要求计分[1-5]分；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根据供应商拟投入本项目人员配备情况，项目负责人及各岗位人员有丰富的平台运维工作经验等进行综合赋分。 1）项目团队配备合理，人员数量、专业结构合理，技术能力强，经验丰富计(7-10]分； 2）项目团队配备较合理，人员数量、技术能力、经验一般计(3-7]分； 3）项目团队配备人员数量、技术能力、经验较差计[1-3]分。 （注：响应文件中须提供以上人员的包含但不限于身份证、学历证、职称证、社保缴纳等证明材料，未提供不得分）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供应商针对本项目提供完整的售后服务方案及保障措施，对售后服务期限、响应时间、售后人员保障等做出实质性响应。 1）售后服务方案完整详细、措施合理、有实质性承诺计(7-10]分； 2）售后服务方案一般计(3-7]分； 3）售后服务方案不完整计[1-3]分。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供应商须针对本项目和采购人实际需求提供培训方案（包括现场培训，远程培训）。方案涵盖但不限于培训对象和内容、培训方式、培训流程、培训日程安排等。 1）培训方案合理、全面，具有操作性，计(7-10]分； 2）培训案较合理、较全面，操作性一般，计(3-7]分； 3）培训方案不合理、不全面，缺乏可操作性的，计[1-3]分。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供应商针对本项目提出具体、可行的运维管理措施和应急处理方案根据响应情况赋分： 1）系统运维管理措施、应急处理方案计划详细，可操作性强计(3-5]分； 2）系统运维管理措施、应急处理方案整体较合理，实施计划较详细计(2-3]分； 3）系统运维管理措施、应急处理方案较差计[1-2]分。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供应商针对本项目提供详细的验收方案。 1）方案完善合理、切实可行，针对性强，完全满足采购人需求的计(3-5]分； 2）方案合理可行有针对性，能满足采购人需求的计(2-3]分； 3）方案简单、内容空泛计[1-2]分。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提供2022年1月1日至今类似项目业绩（信息服务类），每提供一份得1分，最高得5分。(以合同或者中标通知书为准)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价格分采用低价优先法计算，经磋商小组评审后评审报价最低的供应商的价格为磋商基准价，其价格分为满分。其他供应商的价格分统一按照下列公式计算: 报价得分=(磋商基准价/经评审的响应报价)*10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