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版本号：TZZB-2025184C20250710001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超声支气管镜采购项目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TZZB-2025184C</w:t>
      </w:r>
      <w:r>
        <w:br/>
      </w:r>
      <w:r>
        <w:br/>
      </w:r>
      <w:r>
        <w:br/>
      </w:r>
      <w:r>
        <w:br/>
      </w:r>
      <w:r>
        <w:br/>
      </w:r>
    </w:p>
    <w:p>
      <w:pPr>
        <w:pStyle w:val="null3"/>
        <w:jc w:val="center"/>
        <w:outlineLvl w:val="5"/>
      </w:pPr>
      <w:r>
        <w:rPr>
          <w:rFonts w:ascii="仿宋_GB2312" w:hAnsi="仿宋_GB2312" w:cs="仿宋_GB2312" w:eastAsia="仿宋_GB2312"/>
          <w:sz w:val="15"/>
          <w:b/>
        </w:rPr>
        <w:t>西安市人民医院（西安市第四医院）</w:t>
      </w:r>
    </w:p>
    <w:p>
      <w:pPr>
        <w:pStyle w:val="null3"/>
        <w:jc w:val="center"/>
        <w:outlineLvl w:val="5"/>
      </w:pPr>
      <w:r>
        <w:rPr>
          <w:rFonts w:ascii="仿宋_GB2312" w:hAnsi="仿宋_GB2312" w:cs="仿宋_GB2312" w:eastAsia="仿宋_GB2312"/>
          <w:sz w:val="15"/>
          <w:b/>
        </w:rPr>
        <w:t>同正项目管理有限公司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超声支气管镜采购项目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TZZB-2025184C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超声支气管镜采购项目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超声支气管镜（EBUS）引导下的经支气管针吸活检(EBUS-TBNA)是近些年发展起来的新技术，可以在实时超声引导下行TBNA，现已被国际肺癌指南推荐为肺癌分期的重要工具，主要用于肺癌淋巴结转移的分期、胸部淋巴结肿大、纵隔和肺内肿瘤的诊晰。该项技术使支气管镜的应用范围由腔内病灶扩展至腔外，可用于气管、支气管黏膜下病灶，表面黏膜正常而疑有管壁或管外浸润性病变者，周围支气管小结节病灶，纵隔内病变(包括肿大淋巴结等的鉴别)，纵隔、气管、支气管病变需穿刺定位者，气管、支气管病变治疗后诊断与疗效评估，以及对肺癌的诊断和分期及治疗方案的选择等方面均具有重要诊断和指导价值。 我院呼吸慢病和感染性疾病诊疗中心（H）为三级甲等临床专科，现有的超声诊疗系统（内镜主机奥林巴斯CV-290、超声主机奥林巴斯EU-ME2）只能进行传统的TBNA，已经无法满足科室诊疗的需求，为了疾病诊断更精确、治疗的更及时、快捷，科室业务技能水平提高，拟采购超声支气管镜1套，为诊疗提供更加良好的环境。由于科室现有超声主机和内镜主机均为奥林巴斯品牌，只有奥林巴斯超声支气管镜才可以与现有超声主机和内镜主机连接，其他品牌同类产品因接口问题无法兼容，因此只能通过单一来源来源方式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主体身份：具有独立承担民事责任能力的法人、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2、财务状况报告：提供具有财务审计资质单位出具的2024年度财务报告或开标前六个月内其基本账户银行出具的资信证明</w:t>
      </w:r>
    </w:p>
    <w:p>
      <w:pPr>
        <w:pStyle w:val="null3"/>
      </w:pPr>
      <w:r>
        <w:rPr>
          <w:rFonts w:ascii="仿宋_GB2312" w:hAnsi="仿宋_GB2312" w:cs="仿宋_GB2312" w:eastAsia="仿宋_GB2312"/>
        </w:rPr>
        <w:t>3、税收缴纳证明：供应商提供2025年1月至今已缴存的至少1个月的依法缴纳税收的相关凭据（税种须包含增值税或企业所得税或营业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4、社会保障资金缴纳证明：供应商提供2025年1月至今已缴存的至少1个月的社会保障资金缴存单据或社保机构开具的社会保险参保缴费情况证明。依法不需要缴纳社会保障资金的供应商应提供相关证明文件；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5、书面声明：提供具有履行本合同所必需的设备和专业技术能力的说明及承诺；</w:t>
      </w:r>
    </w:p>
    <w:p>
      <w:pPr>
        <w:pStyle w:val="null3"/>
      </w:pPr>
      <w:r>
        <w:rPr>
          <w:rFonts w:ascii="仿宋_GB2312" w:hAnsi="仿宋_GB2312" w:cs="仿宋_GB2312" w:eastAsia="仿宋_GB2312"/>
        </w:rPr>
        <w:t>6、三年内无重大违法记录及信誉：提供参加政府采购活动前三年内在经营活动中没有重大违法记录的书面声明；以及“信用中国”未被列入失信被执行人、重大税收违法失信主体名单的查询截图；“中国政府采购网”未被列入政府采购严重违法失信行为记录名单的查询截图（采购人或采购代理机构开标现场查询,以现场查询结果为准）；</w:t>
      </w:r>
    </w:p>
    <w:p>
      <w:pPr>
        <w:pStyle w:val="null3"/>
      </w:pPr>
      <w:r>
        <w:rPr>
          <w:rFonts w:ascii="仿宋_GB2312" w:hAnsi="仿宋_GB2312" w:cs="仿宋_GB2312" w:eastAsia="仿宋_GB2312"/>
        </w:rPr>
        <w:t>7、法定代表人授权委托书：法定代表人参加投标的，须出示身份证复印件；法定代表人授权他人参加投标的，须提供法定代表人授权委托书及被授权人身份证复印件；</w:t>
      </w:r>
    </w:p>
    <w:p>
      <w:pPr>
        <w:pStyle w:val="null3"/>
      </w:pPr>
      <w:r>
        <w:rPr>
          <w:rFonts w:ascii="仿宋_GB2312" w:hAnsi="仿宋_GB2312" w:cs="仿宋_GB2312" w:eastAsia="仿宋_GB2312"/>
        </w:rPr>
        <w:t>8、医疗器械经营许可证：供应商需提供有效的医疗器械经营许可证</w:t>
      </w:r>
    </w:p>
    <w:p>
      <w:pPr>
        <w:pStyle w:val="null3"/>
      </w:pPr>
      <w:r>
        <w:rPr>
          <w:rFonts w:ascii="仿宋_GB2312" w:hAnsi="仿宋_GB2312" w:cs="仿宋_GB2312" w:eastAsia="仿宋_GB2312"/>
        </w:rPr>
        <w:t>9、医疗器械注册证：属于医疗器械管理范围的产品需提供医疗器械注册证</w:t>
      </w:r>
    </w:p>
    <w:p>
      <w:pPr>
        <w:pStyle w:val="null3"/>
      </w:pPr>
      <w:r>
        <w:rPr>
          <w:rFonts w:ascii="仿宋_GB2312" w:hAnsi="仿宋_GB2312" w:cs="仿宋_GB2312" w:eastAsia="仿宋_GB2312"/>
        </w:rPr>
        <w:t>10、进口设备：进口设备需提供完整产品代理授权链，且授权范围需包含本次采购项目内容；</w:t>
      </w:r>
    </w:p>
    <w:p>
      <w:pPr>
        <w:pStyle w:val="null3"/>
      </w:pPr>
      <w:r>
        <w:rPr>
          <w:rFonts w:ascii="仿宋_GB2312" w:hAnsi="仿宋_GB2312" w:cs="仿宋_GB2312" w:eastAsia="仿宋_GB2312"/>
        </w:rPr>
        <w:t>11、联合体：本项目不接受联合投标（提供承诺函）</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61220013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陕西省西安市经开区凤城八路180号长和国际F座22层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倪莹、王燕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029-86522030转612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采购包1：1,060,000.00元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关于《招标代理服务收费管理暂行办法》（计价格[2002]1980号）、《国家发展改革委办公厅关于招标代理服务收费有关问题的通知》（发改价格[2003]857号）、《国家发展改革委关于进一步放开建设项目专业服务价格的通知》下浮20%收取。（此金额是以预算金额作为代理服务费的缴纳基数计算所得，实际缴纳代理服务费金额以中标单位所投总价作为基数计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1、按照合同约定时间，按院方指定地点提供货物，配合验收工作，并负责安装、调试、提供现场技术培训，保证使用人员正常操作设备的各种功能。 2、由供应商负责，运杂费已包含在合同总价内，包括从货物供应地点所含的运输费、装卸费、仓储费、保险费等。 3、定期派技术人员到现场走访，给予检查维护，一年不少于2次。 4、供应商应终身免费提供维护手册、维修手册、软件备份、故障代码表、备件清单、零部件、维修密码等维护维修必须的材料和信息。</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超声支气管镜（EBUS）引导下的经支气管针吸活检(EBUS-TBNA)是近些年发展起来的新技术，可以在实时超声引导下行TBNA，现已被国际肺癌指南推荐为肺癌分期的重要工具，主要用于肺癌淋巴结转移的分期、胸部淋巴结肿大、纵隔和肺内肿瘤的诊晰。该项技术使支气管镜的应用范围由腔内病灶扩展至腔外，可用于气管、支气管黏膜下病灶，表面黏膜正常而疑有管壁或管外浸润性病变者，周围支气管小结节病灶，纵隔内病变(包括肿大淋巴结等的鉴别)，纵隔、气管、支气管病变需穿刺定位者，气管、支气管病变治疗后诊断与疗效评估，以及对肺癌的诊断和分期及治疗方案的选择等方面均具有重要诊断和指导价值。 我院呼吸慢病和感染性疾病诊疗中心（H）为三级甲等临床专科，现有的超声诊疗系统（内镜主机奥林巴斯CV-290、超声主机奥林巴斯EU-ME2）只能进行传统的TBNA，已经无法满足科室诊疗的需求，为了疾病诊断更精确、治疗的更及时、快捷，科室业务技能水平提高，拟采购超声支气管镜1套，为诊疗提供更加良好的环境。由于科室现有超声主机和内镜主机均为奥林巴斯品牌，只有奥林巴斯超声支气管镜才可以与现有超声主机和内镜主机连接，其他品牌同类产品因接口问题无法兼容，因此只能通过单一来源来源方式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1,060,000.00</w:t>
      </w:r>
    </w:p>
    <w:p>
      <w:pPr>
        <w:pStyle w:val="null3"/>
      </w:pPr>
      <w:r>
        <w:rPr>
          <w:rFonts w:ascii="仿宋_GB2312" w:hAnsi="仿宋_GB2312" w:cs="仿宋_GB2312" w:eastAsia="仿宋_GB2312"/>
        </w:rPr>
        <w:t>采购包最高限价（元）: 1,060,000.00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超声支气管镜，一套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标的名称：超声支气管镜，一套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一、品目1超声支气管镜：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1、主要用途：可通过超声支气管镜进行中央型气道淋巴结的扫查与穿刺活检。</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2、适用范围：中央气道及周围淋巴结相关疾病的诊断及治疗。</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3、与我院现有支气管镜诊疗体系（内镜主机奥林巴斯CV-290、超声主机奥林巴斯EU-ME2）兼容，须为品牌最新型号。</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4、复合式内镜设计，同时具有纤维内镜插入性能和电子内镜操作性能。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5、视野角：≥80°。</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6、视野方向：20°向前斜视。</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7、观察深度： 2-50mm。</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8、先端部外径 ≤6.6mm。</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9、插入部外径: ≤ 6.3mm。</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10、弯曲部：上：160°下：70°。</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11、有效长度: 600 mm。</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12、钳子管道内镜： ≥2.2mm。</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13、扫描方式：电子凸阵扫描。</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14、扫描方向：平行于插入方向。</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15、扫描频率：5/6/7.5/10/12MHz。</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16、超声扫描范围：≥65°。</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17、能够配合吸引活检针实施EBUS-TBNA。</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18、与超声内镜图像处理装置（高配版）适配后，具有B模式，彩色血流模式，能量血流模式，高清血流模式，脉冲多普勒模式，THE-P、THE-R（组织谐波）模式，弹性成像模式， 造影谐波EUS模式。</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（二）单台配置要求:</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超声支气管镜1根、超声电缆1根。</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二、接口及数据要求</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与我院现有支气管镜诊疗体系（内镜主机奥林巴斯CV-290、超声主机奥林巴斯EU-ME2）兼容。</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三、服务要求</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1.中标商需按照设备安装场地现场情况，及设备正常运行需求为目的，其中所产生的所有人工、材料、运输、安装、配套设备等费用均由中标方承担。</w:t>
            </w:r>
          </w:p>
        </w:tc>
      </w:tr>
      <w:tr>
        <w:tc>
          <w:tcPr>
            <w:tcW w:type="dxa" w:w="2769"/>
          </w:tcPr>
          <w:p>
            <w:pPr>
              <w:pStyle w:val="null3"/>
            </w:pPr>
            <w:r>
              <w:rPr>
                <w:rFonts w:ascii="仿宋_GB2312" w:hAnsi="仿宋_GB2312" w:cs="仿宋_GB2312" w:eastAsia="仿宋_GB2312"/>
              </w:rPr>
              <w:t>27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整机免费保修期为叁年（含消耗性配件），（从验收合格之日起开始计算）,根据《医疗器械监督管理条例》要求，免费保修期截止至设备报废，免费提供设备维护、软件升级的技术支持和指导，配合医院完成设备维修、保养相关工作。免费保修期内，同一主要部件出现质量问题经过两次维修后仍无法正常使用，可以更换同型号、同规格的全新产品，服务响应时间不超过2小时，对问题较大短期内暂不能解决的，为不影响甲方正常工作，乙方在2日内免费提供替代产品，确保正常运行，由此产生的费用由乙方承担。</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3、操作人员的技术培训时间不得少于一周，提供培训计划。</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4、提供生产厂家出具的≥3年的质保声明或质保承诺书。</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5、提供陕西近五年内用户名单和相关联系方式。</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6、配套耗材要求： ①产品涉及耗材，供应商均应在投标文件中给予单独报价。报价视为后期耗材、试剂配送企业提供时的最高限价，应遵循两票制、集中配送、阳光采购等国家医用耗材相关管理规定。 ②如配套耗材为集中带量采购产品，则投标价不得高于集采价; ③如配套耗材为陕西省阳光采购限价产品，则投标价不得高于限价; ④如配套耗材未在陕西省阳光采购平台挂网，但该品目同功能产品已挂网，投标商须承诺如中标后45个工作日必须在陕西省阳光采购平台挂网(出具承诺函)，若违反该规定中标商承诺自愿承担相关法律责任和接受我院按相关规定进行的处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合同签订后自甲方通知90日内完成全部项目内容，并交付采购人验收合格。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所有货物到达甲方指定地点，安装、调试完毕、提供国家或行业标准的合格验收证明以及出具所有设备生产厂家提供的叁年质量保证书等，乙方完成自检合格后，提交甲方进行第一次验收，甲方自第一次验收合格且收到发票之日，达到付款条件起10日内，支付验收合格产品对应金额总价95%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货物第一次验收合格满36个月后，进行二次验收，验收合格后达到付款条件起10日内，支付合同总金额的5%。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有关规定以及院方招标文件的质量要求和技术指标、供应商的投标文件及承诺与本合同约定标准进行验收；双方如对质量要求和技术指标的约定标准有相互抵触或异议的事项，由院方在招标与投标文件中按质量要求和技术指标比较优胜的原则确定该项的约定标准进行验收； 2、验收时如发现所交付的货物有缺项、次品、损坏或其它不符合标准及本合同约定之情形者，院方应做出详尽的现场记录，记录形式包括摄像、拍照、供应商证明人的说明，并由双方签署备忘录，此现场记录或备忘录可用作补充缺失和更换损坏部件和更换符合要求的整机之有效证据，由此产生的时间延误与相关费用由供应商承担，验收期限相应顺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详见具体技术（参数）要求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未按合同要求提供货物或质量不能满足本合同、招标文件、投标文件等相关文件要求的，乙方须在合同约定的交货期内无条件更换合格的货物交付给甲方，若甲方有实际损失的乙方还应赔偿甲方的实际损失。否则，甲方有权解除合同，合同自书面解除通知到达乙方之日起解除，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同时甲方有权对乙方的违约行为报监管机构进行相应的处罚。 2、乙方逾期交付货物的，除应及时交足货物外，同时向甲方支付逾期交货部分货款总额的百分之一/天的违约金；逾期交货超过10天，甲方有权解除合同，合同自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采购标的的功能和质量要求： 品目一 功能：可通过超声支气管镜进行中央型气道淋巴结的扫查与穿刺活检，适用于中央气道及周围淋巴结相关疾病的诊断及治疗。 质量要求：符合国家有关规定以及院方协商文件的质量要求和技术指标，确保技术指标先进、质量性能可靠、进货渠道正常，配置合理，全面满足谈判要求。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资格主体身份</w:t>
            </w:r>
          </w:p>
        </w:tc>
        <w:tc>
          <w:tcPr>
            <w:tcW w:type="dxa" w:w="3322"/>
          </w:tcPr>
          <w:p>
            <w:pPr>
              <w:pStyle w:val="null3"/>
            </w:pPr>
            <w:r>
              <w:rPr>
                <w:rFonts w:ascii="仿宋_GB2312" w:hAnsi="仿宋_GB2312" w:cs="仿宋_GB2312" w:eastAsia="仿宋_GB2312"/>
              </w:rPr>
              <w:t>具有独立承担民事责任能力的法人、其他组织或自然人：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提供具有财务审计资质单位出具的2024年度财务报告或开标前六个月内其基本账户银行出具的资信证明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存的至少1个月的依法缴纳税收的相关凭据（税种须包含增值税或企业所得税或营业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供应商提供2025年1月至今已缴存的至少1个月的社会保障资金缴存单据或社保机构开具的社会保险参保缴费情况证明。依法不需要缴纳社会保障资金的供应商应提供相关证明文件；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三年内无重大违法记录及信誉</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以及“信用中国”未被列入失信被执行人、重大税收违法失信主体名单的查询截图；“中国政府采购网”未被列入政府采购严重违法失信行为记录名单的查询截图（采购人或采购代理机构开标现场查询,以现场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法定代表人参加投标的，须出示身份证复印件；法定代表人授权他人参加投标的，须提供法定代表人授权委托书及被授权人身份证复印件；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供应商需提供有效的医疗器械经营许可证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医疗器械注册证</w:t>
            </w:r>
          </w:p>
        </w:tc>
        <w:tc>
          <w:tcPr>
            <w:tcW w:type="dxa" w:w="3322"/>
          </w:tcPr>
          <w:p>
            <w:pPr>
              <w:pStyle w:val="null3"/>
            </w:pPr>
            <w:r>
              <w:rPr>
                <w:rFonts w:ascii="仿宋_GB2312" w:hAnsi="仿宋_GB2312" w:cs="仿宋_GB2312" w:eastAsia="仿宋_GB2312"/>
              </w:rPr>
              <w:t>属于医疗器械管理范围的产品需提供医疗器械注册证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进口设备</w:t>
            </w:r>
          </w:p>
        </w:tc>
        <w:tc>
          <w:tcPr>
            <w:tcW w:type="dxa" w:w="3322"/>
          </w:tcPr>
          <w:p>
            <w:pPr>
              <w:pStyle w:val="null3"/>
            </w:pPr>
            <w:r>
              <w:rPr>
                <w:rFonts w:ascii="仿宋_GB2312" w:hAnsi="仿宋_GB2312" w:cs="仿宋_GB2312" w:eastAsia="仿宋_GB2312"/>
              </w:rPr>
              <w:t>进口设备需提供完整产品代理授权链，且授权范围需包含本次采购项目内容；</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本项目不接受联合投标（提供承诺函）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合同条款的响应.docx 商务应答表 项目实施方案 产品技术参数表.docx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完全理解并接受拒绝政府采购领域商业贿赂承诺书； 参加政府采购活动行为自律承诺书（一）；参加政府采购活动行为自律承诺书（二）内容。</w:t>
            </w:r>
          </w:p>
        </w:tc>
        <w:tc>
          <w:tcPr>
            <w:tcW w:type="dxa" w:w="1661"/>
          </w:tcPr>
          <w:p>
            <w:pPr>
              <w:pStyle w:val="null3"/>
            </w:pPr>
            <w:r>
              <w:rPr>
                <w:rFonts w:ascii="仿宋_GB2312" w:hAnsi="仿宋_GB2312" w:cs="仿宋_GB2312" w:eastAsia="仿宋_GB2312"/>
              </w:rPr>
              <w:t>供应商须知.docx 陕西省政府采购供货商拒绝政府采购领域商业贿赂承诺书.docx 参加政府采购活动行为自律承诺书（一）.docx 参加政府采购活动行为自律承诺书（二）.docx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（1）响应报价符合唯一性要求；（2） 响应报价表填写符合要求；（3） 计量单位、报价货币均符合采购文件要求；（4） 未超出采购文件规定的最高限价。</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详见附件：供应商须知.docx</w:t>
      </w:r>
    </w:p>
    <w:p>
      <w:pPr>
        <w:pStyle w:val="null3"/>
        <w:ind w:firstLine="960"/>
      </w:pPr>
      <w:r>
        <w:rPr>
          <w:rFonts w:ascii="仿宋_GB2312" w:hAnsi="仿宋_GB2312" w:cs="仿宋_GB2312" w:eastAsia="仿宋_GB2312"/>
        </w:rPr>
        <w:t>详见附件：参加政府采购活动行为自律承诺书（一）.docx</w:t>
      </w:r>
    </w:p>
    <w:p>
      <w:pPr>
        <w:pStyle w:val="null3"/>
        <w:ind w:firstLine="960"/>
      </w:pPr>
      <w:r>
        <w:rPr>
          <w:rFonts w:ascii="仿宋_GB2312" w:hAnsi="仿宋_GB2312" w:cs="仿宋_GB2312" w:eastAsia="仿宋_GB2312"/>
        </w:rPr>
        <w:t>详见附件：参加政府采购活动行为自律承诺书（二）.docx</w:t>
      </w:r>
    </w:p>
    <w:p>
      <w:pPr>
        <w:pStyle w:val="null3"/>
        <w:ind w:firstLine="960"/>
      </w:pPr>
      <w:r>
        <w:rPr>
          <w:rFonts w:ascii="仿宋_GB2312" w:hAnsi="仿宋_GB2312" w:cs="仿宋_GB2312" w:eastAsia="仿宋_GB2312"/>
        </w:rPr>
        <w:t>详见附件：合同条款的响应.docx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