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DE1155">
      <w:pPr>
        <w:rPr>
          <w:rFonts w:hint="eastAsia" w:ascii="黑体" w:hAnsi="宋体" w:eastAsia="黑体" w:cs="仿宋_GB2312"/>
          <w:color w:val="auto"/>
          <w:sz w:val="32"/>
          <w:szCs w:val="32"/>
        </w:rPr>
      </w:pPr>
      <w:r>
        <w:rPr>
          <w:rFonts w:hint="eastAsia" w:ascii="黑体" w:hAnsi="宋体" w:eastAsia="黑体" w:cs="仿宋_GB2312"/>
          <w:color w:val="auto"/>
          <w:sz w:val="32"/>
          <w:szCs w:val="32"/>
        </w:rPr>
        <w:t xml:space="preserve">项目名称：                                </w:t>
      </w:r>
    </w:p>
    <w:p w14:paraId="43338B80">
      <w:pPr>
        <w:rPr>
          <w:rFonts w:hint="eastAsia" w:ascii="黑体" w:eastAsia="黑体"/>
          <w:b/>
          <w:color w:val="auto"/>
          <w:sz w:val="32"/>
          <w:szCs w:val="32"/>
        </w:rPr>
      </w:pPr>
      <w:r>
        <w:rPr>
          <w:rFonts w:hint="eastAsia" w:ascii="黑体" w:hAnsi="宋体" w:eastAsia="黑体" w:cs="仿宋_GB2312"/>
          <w:color w:val="auto"/>
          <w:sz w:val="32"/>
          <w:szCs w:val="32"/>
        </w:rPr>
        <w:t>项目编号：</w:t>
      </w:r>
      <w:r>
        <w:rPr>
          <w:rFonts w:hint="eastAsia" w:ascii="黑体" w:eastAsia="黑体"/>
          <w:b/>
          <w:color w:val="auto"/>
          <w:sz w:val="32"/>
          <w:szCs w:val="32"/>
        </w:rPr>
        <w:t xml:space="preserve">                    </w:t>
      </w:r>
    </w:p>
    <w:p w14:paraId="7E4AF5EF">
      <w:pPr>
        <w:rPr>
          <w:rFonts w:hint="eastAsia" w:ascii="黑体" w:eastAsia="黑体"/>
          <w:color w:val="auto"/>
          <w:sz w:val="52"/>
          <w:szCs w:val="52"/>
        </w:rPr>
      </w:pPr>
    </w:p>
    <w:p w14:paraId="3A547AF3">
      <w:pPr>
        <w:rPr>
          <w:rFonts w:hint="eastAsia" w:ascii="黑体" w:eastAsia="黑体"/>
          <w:color w:val="auto"/>
          <w:sz w:val="52"/>
          <w:szCs w:val="52"/>
        </w:rPr>
      </w:pPr>
    </w:p>
    <w:p w14:paraId="0C6891EC">
      <w:pPr>
        <w:jc w:val="center"/>
        <w:rPr>
          <w:rFonts w:hint="eastAsia" w:ascii="黑体" w:hAnsi="宋体" w:eastAsia="黑体" w:cs="仿宋_GB2312"/>
          <w:bCs/>
          <w:color w:val="auto"/>
          <w:sz w:val="52"/>
          <w:szCs w:val="52"/>
        </w:rPr>
      </w:pPr>
      <w:r>
        <w:rPr>
          <w:rFonts w:hint="eastAsia" w:ascii="黑体" w:hAnsi="宋体" w:eastAsia="黑体" w:cs="仿宋_GB2312"/>
          <w:bCs/>
          <w:color w:val="auto"/>
          <w:sz w:val="52"/>
          <w:szCs w:val="52"/>
        </w:rPr>
        <w:t>西安市人民医院（西安市第四医院）</w:t>
      </w:r>
    </w:p>
    <w:p w14:paraId="225257E3">
      <w:pPr>
        <w:jc w:val="center"/>
        <w:rPr>
          <w:rFonts w:ascii="黑体" w:eastAsia="黑体"/>
          <w:b/>
          <w:color w:val="auto"/>
          <w:sz w:val="72"/>
          <w:szCs w:val="72"/>
        </w:rPr>
      </w:pPr>
      <w:r>
        <w:rPr>
          <w:rFonts w:hint="eastAsia" w:ascii="黑体" w:hAnsi="黑体" w:eastAsia="黑体" w:cs="黑体"/>
          <w:bCs/>
          <w:snapToGrid w:val="0"/>
          <w:color w:val="auto"/>
          <w:sz w:val="52"/>
          <w:szCs w:val="52"/>
        </w:rPr>
        <w:t>医疗设备采购合同</w:t>
      </w:r>
    </w:p>
    <w:p w14:paraId="4EDD6C10">
      <w:pPr>
        <w:jc w:val="center"/>
        <w:rPr>
          <w:rFonts w:hint="eastAsia" w:ascii="黑体" w:eastAsia="黑体"/>
          <w:color w:val="auto"/>
          <w:sz w:val="30"/>
          <w:szCs w:val="30"/>
        </w:rPr>
      </w:pPr>
    </w:p>
    <w:p w14:paraId="17050D6B">
      <w:pPr>
        <w:jc w:val="both"/>
        <w:rPr>
          <w:rFonts w:hint="eastAsia" w:ascii="黑体" w:eastAsia="黑体"/>
          <w:color w:val="auto"/>
          <w:sz w:val="28"/>
          <w:szCs w:val="28"/>
        </w:rPr>
      </w:pPr>
    </w:p>
    <w:p w14:paraId="10C0806F">
      <w:pPr>
        <w:jc w:val="center"/>
        <w:rPr>
          <w:rFonts w:hint="eastAsia" w:ascii="黑体" w:eastAsia="黑体"/>
          <w:color w:val="auto"/>
          <w:sz w:val="30"/>
          <w:szCs w:val="30"/>
        </w:rPr>
      </w:pPr>
    </w:p>
    <w:p w14:paraId="6A9CF8C6">
      <w:pPr>
        <w:jc w:val="center"/>
        <w:rPr>
          <w:rFonts w:hint="eastAsia" w:ascii="黑体" w:eastAsia="黑体"/>
          <w:color w:val="auto"/>
          <w:sz w:val="30"/>
          <w:szCs w:val="30"/>
        </w:rPr>
      </w:pPr>
    </w:p>
    <w:p w14:paraId="69BAD9F3">
      <w:pPr>
        <w:jc w:val="center"/>
        <w:rPr>
          <w:rFonts w:hint="eastAsia" w:ascii="黑体" w:eastAsia="黑体"/>
          <w:color w:val="auto"/>
          <w:sz w:val="30"/>
          <w:szCs w:val="30"/>
        </w:rPr>
      </w:pPr>
    </w:p>
    <w:p w14:paraId="2FE823B3">
      <w:pPr>
        <w:jc w:val="center"/>
        <w:rPr>
          <w:rFonts w:hint="eastAsia" w:ascii="黑体" w:eastAsia="黑体"/>
          <w:color w:val="auto"/>
          <w:sz w:val="30"/>
          <w:szCs w:val="30"/>
        </w:rPr>
      </w:pPr>
    </w:p>
    <w:p w14:paraId="6EBBE9BB">
      <w:pPr>
        <w:ind w:firstLine="2080" w:firstLineChars="650"/>
        <w:rPr>
          <w:rFonts w:hint="eastAsia" w:ascii="黑体" w:eastAsia="黑体"/>
          <w:color w:val="auto"/>
          <w:sz w:val="32"/>
          <w:szCs w:val="32"/>
        </w:rPr>
      </w:pPr>
      <w:r>
        <w:rPr>
          <w:rFonts w:hint="eastAsia" w:ascii="黑体" w:eastAsia="黑体"/>
          <w:color w:val="auto"/>
          <w:sz w:val="32"/>
          <w:szCs w:val="32"/>
        </w:rPr>
        <w:t>甲  方：西安市人民医院（</w:t>
      </w:r>
      <w:r>
        <w:rPr>
          <w:rFonts w:hint="eastAsia" w:ascii="黑体" w:hAnsi="宋体" w:eastAsia="黑体"/>
          <w:color w:val="auto"/>
          <w:sz w:val="32"/>
          <w:szCs w:val="32"/>
        </w:rPr>
        <w:t>西安市第四医院</w:t>
      </w:r>
      <w:r>
        <w:rPr>
          <w:rFonts w:hint="eastAsia" w:ascii="黑体" w:eastAsia="黑体"/>
          <w:color w:val="auto"/>
          <w:sz w:val="32"/>
          <w:szCs w:val="32"/>
        </w:rPr>
        <w:t>）</w:t>
      </w:r>
    </w:p>
    <w:p w14:paraId="4C184EDF">
      <w:pPr>
        <w:tabs>
          <w:tab w:val="left" w:pos="480"/>
        </w:tabs>
        <w:ind w:firstLine="640" w:firstLineChars="200"/>
        <w:rPr>
          <w:rFonts w:hint="eastAsia" w:ascii="黑体" w:hAnsi="黑体" w:eastAsia="黑体"/>
          <w:color w:val="auto"/>
          <w:sz w:val="32"/>
          <w:szCs w:val="32"/>
        </w:rPr>
      </w:pPr>
      <w:r>
        <w:rPr>
          <w:rFonts w:hint="eastAsia" w:ascii="黑体" w:eastAsia="黑体"/>
          <w:color w:val="auto"/>
          <w:sz w:val="32"/>
          <w:szCs w:val="32"/>
        </w:rPr>
        <w:t xml:space="preserve">         </w:t>
      </w:r>
      <w:r>
        <w:rPr>
          <w:rFonts w:hint="eastAsia" w:ascii="黑体" w:hAnsi="黑体" w:eastAsia="黑体"/>
          <w:color w:val="auto"/>
          <w:sz w:val="32"/>
          <w:szCs w:val="32"/>
        </w:rPr>
        <w:t>乙  方：</w:t>
      </w:r>
    </w:p>
    <w:p w14:paraId="7A0F80A8">
      <w:pPr>
        <w:rPr>
          <w:rFonts w:hint="eastAsia" w:ascii="黑体" w:eastAsia="黑体"/>
          <w:color w:val="auto"/>
          <w:sz w:val="32"/>
          <w:szCs w:val="32"/>
        </w:rPr>
      </w:pPr>
      <w:r>
        <w:rPr>
          <w:rFonts w:hint="eastAsia" w:ascii="黑体" w:eastAsia="黑体"/>
          <w:color w:val="auto"/>
          <w:sz w:val="32"/>
          <w:szCs w:val="32"/>
        </w:rPr>
        <w:t xml:space="preserve">             </w:t>
      </w:r>
      <w:r>
        <w:rPr>
          <w:rFonts w:hint="eastAsia" w:ascii="宋体" w:hAnsi="宋体"/>
          <w:b/>
          <w:color w:val="auto"/>
          <w:sz w:val="32"/>
          <w:szCs w:val="21"/>
        </w:rPr>
        <w:t>鉴证</w:t>
      </w:r>
      <w:r>
        <w:rPr>
          <w:rFonts w:hint="eastAsia" w:ascii="黑体" w:eastAsia="黑体"/>
          <w:color w:val="auto"/>
          <w:sz w:val="32"/>
          <w:szCs w:val="32"/>
        </w:rPr>
        <w:t>方：</w:t>
      </w:r>
    </w:p>
    <w:p w14:paraId="0170F22A">
      <w:pPr>
        <w:jc w:val="center"/>
        <w:rPr>
          <w:rFonts w:hint="eastAsia" w:ascii="黑体" w:eastAsia="黑体"/>
          <w:color w:val="auto"/>
          <w:sz w:val="30"/>
          <w:szCs w:val="30"/>
        </w:rPr>
      </w:pPr>
    </w:p>
    <w:p w14:paraId="0D4E7A69">
      <w:pPr>
        <w:jc w:val="center"/>
        <w:rPr>
          <w:rFonts w:hint="eastAsia" w:ascii="黑体" w:eastAsia="黑体"/>
          <w:color w:val="auto"/>
          <w:sz w:val="30"/>
          <w:szCs w:val="30"/>
        </w:rPr>
      </w:pPr>
    </w:p>
    <w:p w14:paraId="515F4DD1">
      <w:pPr>
        <w:jc w:val="center"/>
        <w:rPr>
          <w:rFonts w:hint="eastAsia" w:ascii="黑体" w:eastAsia="黑体"/>
          <w:color w:val="auto"/>
          <w:sz w:val="30"/>
          <w:szCs w:val="30"/>
        </w:rPr>
      </w:pPr>
    </w:p>
    <w:p w14:paraId="76C2FFD8">
      <w:pPr>
        <w:jc w:val="center"/>
        <w:rPr>
          <w:rFonts w:hint="eastAsia" w:ascii="黑体" w:eastAsia="黑体"/>
          <w:color w:val="auto"/>
          <w:sz w:val="32"/>
          <w:szCs w:val="32"/>
          <w:u w:val="single"/>
        </w:rPr>
      </w:pPr>
      <w:r>
        <w:rPr>
          <w:rFonts w:hint="eastAsia" w:ascii="黑体" w:eastAsia="黑体"/>
          <w:color w:val="auto"/>
          <w:sz w:val="32"/>
          <w:szCs w:val="32"/>
        </w:rPr>
        <w:t>年  月</w:t>
      </w:r>
    </w:p>
    <w:p w14:paraId="314FF660">
      <w:pPr>
        <w:jc w:val="center"/>
        <w:rPr>
          <w:rFonts w:hint="eastAsia" w:ascii="黑体" w:eastAsia="黑体"/>
          <w:color w:val="auto"/>
          <w:sz w:val="32"/>
          <w:szCs w:val="32"/>
        </w:rPr>
      </w:pPr>
      <w:r>
        <w:rPr>
          <w:rFonts w:hint="eastAsia" w:ascii="黑体" w:eastAsia="黑体"/>
          <w:color w:val="auto"/>
          <w:sz w:val="32"/>
          <w:szCs w:val="32"/>
        </w:rPr>
        <w:t>中国  西安</w:t>
      </w:r>
    </w:p>
    <w:p w14:paraId="1E890321">
      <w:pPr>
        <w:tabs>
          <w:tab w:val="left" w:pos="480"/>
        </w:tabs>
        <w:spacing w:line="600" w:lineRule="exact"/>
        <w:ind w:firstLine="562" w:firstLineChars="200"/>
        <w:jc w:val="center"/>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采 购 合 同</w:t>
      </w:r>
    </w:p>
    <w:p w14:paraId="028389F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甲方：西安市人民医院（西安市第四医院）</w:t>
      </w:r>
    </w:p>
    <w:p w14:paraId="6622E2FC">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住所地：</w:t>
      </w:r>
    </w:p>
    <w:p w14:paraId="3205D5F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法定代表人：</w:t>
      </w:r>
    </w:p>
    <w:p w14:paraId="6126C5F7">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 xml:space="preserve">乙方： </w:t>
      </w:r>
    </w:p>
    <w:p w14:paraId="61D1DCC1">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住所地：</w:t>
      </w:r>
    </w:p>
    <w:p w14:paraId="56C83D14">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法定代表人：</w:t>
      </w:r>
    </w:p>
    <w:p w14:paraId="46D5FB1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 xml:space="preserve">鉴证方： </w:t>
      </w:r>
    </w:p>
    <w:p w14:paraId="501B4D26">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住所地：</w:t>
      </w:r>
    </w:p>
    <w:p w14:paraId="5FDA1358">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法定代表人：</w:t>
      </w:r>
    </w:p>
    <w:p w14:paraId="680C4AED">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bCs/>
          <w:color w:val="auto"/>
          <w:sz w:val="28"/>
          <w:szCs w:val="28"/>
        </w:rPr>
      </w:pPr>
    </w:p>
    <w:p w14:paraId="370BBCC1">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鉴证方就甲方所需货物，按照招标采购程序组织公开招标，确定乙方为成交供应商。依据《中华人民共和国政府采购法》《中华人民共和国招标投标法》《中华人民共和国民法典》以及招标文件、成交供应商投标响应文件正本和澄清表（函）、成交通知书，经甲、乙双方协商，鉴证方确认，达成如下条款。</w:t>
      </w:r>
    </w:p>
    <w:p w14:paraId="473CB91B">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一、合同标的物</w:t>
      </w:r>
      <w:r>
        <w:rPr>
          <w:rFonts w:hint="eastAsia" w:ascii="仿宋_GB2312" w:hAnsi="仿宋_GB2312" w:eastAsia="仿宋_GB2312" w:cs="仿宋_GB2312"/>
          <w:color w:val="auto"/>
          <w:sz w:val="28"/>
          <w:szCs w:val="28"/>
        </w:rPr>
        <w:t>（以投标文件正本和澄清表〈函〉为准）</w:t>
      </w:r>
    </w:p>
    <w:tbl>
      <w:tblPr>
        <w:tblStyle w:val="7"/>
        <w:tblW w:w="99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0"/>
        <w:gridCol w:w="2480"/>
        <w:gridCol w:w="1038"/>
        <w:gridCol w:w="851"/>
        <w:gridCol w:w="850"/>
        <w:gridCol w:w="1134"/>
        <w:gridCol w:w="1309"/>
        <w:gridCol w:w="1101"/>
        <w:gridCol w:w="22"/>
      </w:tblGrid>
      <w:tr w14:paraId="4C07C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jc w:val="center"/>
        </w:trPr>
        <w:tc>
          <w:tcPr>
            <w:tcW w:w="1120" w:type="dxa"/>
            <w:tcBorders>
              <w:top w:val="single" w:color="auto" w:sz="4" w:space="0"/>
              <w:left w:val="single" w:color="auto" w:sz="4" w:space="0"/>
              <w:bottom w:val="single" w:color="auto" w:sz="4" w:space="0"/>
              <w:right w:val="single" w:color="auto" w:sz="4" w:space="0"/>
            </w:tcBorders>
            <w:noWrap w:val="0"/>
            <w:vAlign w:val="center"/>
          </w:tcPr>
          <w:p w14:paraId="4F6A8F34">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序号</w:t>
            </w:r>
          </w:p>
        </w:tc>
        <w:tc>
          <w:tcPr>
            <w:tcW w:w="2480" w:type="dxa"/>
            <w:tcBorders>
              <w:top w:val="single" w:color="auto" w:sz="4" w:space="0"/>
              <w:left w:val="single" w:color="auto" w:sz="4" w:space="0"/>
              <w:bottom w:val="single" w:color="auto" w:sz="4" w:space="0"/>
              <w:right w:val="single" w:color="auto" w:sz="4" w:space="0"/>
            </w:tcBorders>
            <w:noWrap w:val="0"/>
            <w:vAlign w:val="center"/>
          </w:tcPr>
          <w:p w14:paraId="0D715C3F">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标的物名称</w:t>
            </w:r>
          </w:p>
        </w:tc>
        <w:tc>
          <w:tcPr>
            <w:tcW w:w="1038" w:type="dxa"/>
            <w:tcBorders>
              <w:top w:val="single" w:color="auto" w:sz="4" w:space="0"/>
              <w:left w:val="single" w:color="auto" w:sz="4" w:space="0"/>
              <w:bottom w:val="single" w:color="auto" w:sz="4" w:space="0"/>
              <w:right w:val="single" w:color="auto" w:sz="4" w:space="0"/>
            </w:tcBorders>
            <w:noWrap w:val="0"/>
            <w:vAlign w:val="center"/>
          </w:tcPr>
          <w:p w14:paraId="6A7CBA26">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规格型号</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7B9D6E32">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数量</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075CBC0B">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产地品牌</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3E55AE7">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单价</w:t>
            </w:r>
          </w:p>
          <w:p w14:paraId="0CC3AAB4">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(万元)</w:t>
            </w:r>
          </w:p>
        </w:tc>
        <w:tc>
          <w:tcPr>
            <w:tcW w:w="1309" w:type="dxa"/>
            <w:tcBorders>
              <w:top w:val="single" w:color="auto" w:sz="4" w:space="0"/>
              <w:left w:val="single" w:color="auto" w:sz="4" w:space="0"/>
              <w:bottom w:val="single" w:color="auto" w:sz="4" w:space="0"/>
              <w:right w:val="single" w:color="auto" w:sz="4" w:space="0"/>
            </w:tcBorders>
            <w:noWrap w:val="0"/>
            <w:vAlign w:val="center"/>
          </w:tcPr>
          <w:p w14:paraId="67CFEAFD">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合计</w:t>
            </w:r>
          </w:p>
          <w:p w14:paraId="1E4EC56E">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(万元)</w:t>
            </w:r>
          </w:p>
        </w:tc>
        <w:tc>
          <w:tcPr>
            <w:tcW w:w="1101" w:type="dxa"/>
            <w:tcBorders>
              <w:top w:val="single" w:color="auto" w:sz="4" w:space="0"/>
              <w:left w:val="single" w:color="auto" w:sz="4" w:space="0"/>
              <w:bottom w:val="single" w:color="auto" w:sz="4" w:space="0"/>
              <w:right w:val="single" w:color="auto" w:sz="4" w:space="0"/>
            </w:tcBorders>
            <w:noWrap w:val="0"/>
            <w:vAlign w:val="center"/>
          </w:tcPr>
          <w:p w14:paraId="449B3DDE">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备注</w:t>
            </w:r>
          </w:p>
        </w:tc>
      </w:tr>
      <w:tr w14:paraId="15231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0" w:type="dxa"/>
            <w:tcBorders>
              <w:top w:val="single" w:color="auto" w:sz="4" w:space="0"/>
              <w:left w:val="single" w:color="auto" w:sz="4" w:space="0"/>
              <w:bottom w:val="single" w:color="auto" w:sz="4" w:space="0"/>
              <w:right w:val="single" w:color="auto" w:sz="4" w:space="0"/>
            </w:tcBorders>
            <w:noWrap w:val="0"/>
            <w:vAlign w:val="center"/>
          </w:tcPr>
          <w:p w14:paraId="131C4461">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p>
        </w:tc>
        <w:tc>
          <w:tcPr>
            <w:tcW w:w="2480" w:type="dxa"/>
            <w:tcBorders>
              <w:top w:val="single" w:color="auto" w:sz="4" w:space="0"/>
              <w:left w:val="single" w:color="auto" w:sz="4" w:space="0"/>
              <w:bottom w:val="single" w:color="auto" w:sz="4" w:space="0"/>
              <w:right w:val="single" w:color="auto" w:sz="4" w:space="0"/>
            </w:tcBorders>
            <w:noWrap w:val="0"/>
            <w:vAlign w:val="center"/>
          </w:tcPr>
          <w:p w14:paraId="3C38DDD1">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项目名称（注册证名称 ：XXXX）</w:t>
            </w:r>
          </w:p>
        </w:tc>
        <w:tc>
          <w:tcPr>
            <w:tcW w:w="1038" w:type="dxa"/>
            <w:tcBorders>
              <w:top w:val="single" w:color="auto" w:sz="4" w:space="0"/>
              <w:left w:val="single" w:color="auto" w:sz="4" w:space="0"/>
              <w:bottom w:val="single" w:color="auto" w:sz="4" w:space="0"/>
              <w:right w:val="single" w:color="auto" w:sz="4" w:space="0"/>
            </w:tcBorders>
            <w:noWrap w:val="0"/>
            <w:vAlign w:val="center"/>
          </w:tcPr>
          <w:p w14:paraId="249F63FF">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68CB4F96">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3073606F">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4D1F6E3">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c>
          <w:tcPr>
            <w:tcW w:w="1309" w:type="dxa"/>
            <w:tcBorders>
              <w:top w:val="single" w:color="auto" w:sz="4" w:space="0"/>
              <w:left w:val="single" w:color="auto" w:sz="4" w:space="0"/>
              <w:bottom w:val="single" w:color="auto" w:sz="4" w:space="0"/>
              <w:right w:val="single" w:color="auto" w:sz="4" w:space="0"/>
            </w:tcBorders>
            <w:noWrap w:val="0"/>
            <w:vAlign w:val="center"/>
          </w:tcPr>
          <w:p w14:paraId="0F51DD03">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14:paraId="3E949547">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r>
      <w:tr w14:paraId="4464D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0" w:type="dxa"/>
            <w:tcBorders>
              <w:top w:val="single" w:color="auto" w:sz="4" w:space="0"/>
              <w:left w:val="single" w:color="auto" w:sz="4" w:space="0"/>
              <w:bottom w:val="single" w:color="auto" w:sz="4" w:space="0"/>
              <w:right w:val="single" w:color="auto" w:sz="4" w:space="0"/>
            </w:tcBorders>
            <w:noWrap w:val="0"/>
            <w:vAlign w:val="center"/>
          </w:tcPr>
          <w:p w14:paraId="5AF65E83">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c>
          <w:tcPr>
            <w:tcW w:w="2480" w:type="dxa"/>
            <w:tcBorders>
              <w:top w:val="single" w:color="auto" w:sz="4" w:space="0"/>
              <w:left w:val="single" w:color="auto" w:sz="4" w:space="0"/>
              <w:bottom w:val="single" w:color="auto" w:sz="4" w:space="0"/>
              <w:right w:val="single" w:color="auto" w:sz="4" w:space="0"/>
            </w:tcBorders>
            <w:noWrap w:val="0"/>
            <w:vAlign w:val="center"/>
          </w:tcPr>
          <w:p w14:paraId="7D3FA315">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14:paraId="635C7DF3">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57119139">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0803E298">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F1F015F">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c>
          <w:tcPr>
            <w:tcW w:w="1309" w:type="dxa"/>
            <w:tcBorders>
              <w:top w:val="single" w:color="auto" w:sz="4" w:space="0"/>
              <w:left w:val="single" w:color="auto" w:sz="4" w:space="0"/>
              <w:bottom w:val="single" w:color="auto" w:sz="4" w:space="0"/>
              <w:right w:val="single" w:color="auto" w:sz="4" w:space="0"/>
            </w:tcBorders>
            <w:noWrap w:val="0"/>
            <w:vAlign w:val="center"/>
          </w:tcPr>
          <w:p w14:paraId="119885FD">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14:paraId="48062A27">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r>
      <w:tr w14:paraId="3A4A9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20" w:type="dxa"/>
            <w:tcBorders>
              <w:top w:val="single" w:color="auto" w:sz="4" w:space="0"/>
              <w:left w:val="single" w:color="auto" w:sz="4" w:space="0"/>
              <w:bottom w:val="single" w:color="auto" w:sz="4" w:space="0"/>
              <w:right w:val="single" w:color="auto" w:sz="4" w:space="0"/>
            </w:tcBorders>
            <w:noWrap w:val="0"/>
            <w:vAlign w:val="center"/>
          </w:tcPr>
          <w:p w14:paraId="3CDBF0E1">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说明 </w:t>
            </w:r>
          </w:p>
        </w:tc>
        <w:tc>
          <w:tcPr>
            <w:tcW w:w="8785" w:type="dxa"/>
            <w:gridSpan w:val="8"/>
            <w:tcBorders>
              <w:top w:val="single" w:color="auto" w:sz="4" w:space="0"/>
              <w:left w:val="single" w:color="auto" w:sz="4" w:space="0"/>
              <w:bottom w:val="single" w:color="auto" w:sz="4" w:space="0"/>
              <w:right w:val="single" w:color="auto" w:sz="4" w:space="0"/>
            </w:tcBorders>
            <w:noWrap w:val="0"/>
            <w:vAlign w:val="center"/>
          </w:tcPr>
          <w:p w14:paraId="149DEAC2">
            <w:pPr>
              <w:keepNext w:val="0"/>
              <w:keepLines w:val="0"/>
              <w:pageBreakBefore w:val="0"/>
              <w:widowControl w:val="0"/>
              <w:tabs>
                <w:tab w:val="left" w:pos="480"/>
              </w:tabs>
              <w:kinsoku/>
              <w:wordWrap/>
              <w:overflowPunct/>
              <w:topLinePunct w:val="0"/>
              <w:autoSpaceDE/>
              <w:autoSpaceDN/>
              <w:bidi w:val="0"/>
              <w:adjustRightInd/>
              <w:snapToGrid/>
              <w:spacing w:line="460" w:lineRule="exact"/>
              <w:jc w:val="center"/>
              <w:textAlignment w:val="auto"/>
              <w:rPr>
                <w:rFonts w:hint="eastAsia" w:ascii="仿宋_GB2312" w:hAnsi="仿宋_GB2312" w:eastAsia="仿宋_GB2312" w:cs="仿宋_GB2312"/>
                <w:color w:val="auto"/>
                <w:sz w:val="28"/>
                <w:szCs w:val="28"/>
              </w:rPr>
            </w:pPr>
          </w:p>
        </w:tc>
      </w:tr>
    </w:tbl>
    <w:p w14:paraId="56375304">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51" w:firstLineChars="196"/>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二、合同价款</w:t>
      </w:r>
    </w:p>
    <w:p w14:paraId="6AEB01E6">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（一）合同总价款为人民币（大写）            元整（￥             ）。</w:t>
      </w:r>
    </w:p>
    <w:p w14:paraId="4C12C0D5">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（二）合同总价包括：设备采购费（货物费、运输费（含保险费）、装卸费）、拆除费、安装调试费、检测验收、培训、技术服务、税金及其它</w:t>
      </w:r>
      <w:r>
        <w:rPr>
          <w:rFonts w:hint="eastAsia" w:ascii="仿宋_GB2312" w:hAnsi="仿宋" w:eastAsia="仿宋_GB2312" w:cs="仿宋_GB2312"/>
          <w:bCs/>
          <w:color w:val="auto"/>
          <w:sz w:val="28"/>
          <w:szCs w:val="28"/>
          <w:lang w:bidi="ar"/>
        </w:rPr>
        <w:t>乙方履行合同义务所需的全部</w:t>
      </w:r>
      <w:r>
        <w:rPr>
          <w:rFonts w:hint="eastAsia" w:ascii="仿宋_GB2312" w:hAnsi="仿宋_GB2312" w:eastAsia="仿宋_GB2312" w:cs="仿宋_GB2312"/>
          <w:color w:val="auto"/>
          <w:sz w:val="28"/>
          <w:szCs w:val="28"/>
        </w:rPr>
        <w:t>费用。</w:t>
      </w:r>
    </w:p>
    <w:p w14:paraId="33547E3C">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（三）合同总价一次性包死，不受市场价格变化因素的影响。</w:t>
      </w:r>
    </w:p>
    <w:p w14:paraId="116D968D">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三、款项结算</w:t>
      </w:r>
    </w:p>
    <w:p w14:paraId="521CF86C">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一）无预付款，所有货物到达甲方指定地点，安装、调试完毕、提供国家或行业标准的合格验收证明以及出具所有设备生产厂家提供的叁年质量保证书等，乙方完成自检合格后，提交甲方进行第一次验收，甲方自第一次验收合格且收到发票之日，达到付款条件起10日内，支付验收合格产品对应金额总价95%。若因乙方不能及时提供发票或提供的发票不符合要求的，甲方付款期限顺延，且不承担任何责任。</w:t>
      </w:r>
    </w:p>
    <w:p w14:paraId="7DA5F905">
      <w:pPr>
        <w:pStyle w:val="4"/>
        <w:keepNext w:val="0"/>
        <w:keepLines w:val="0"/>
        <w:pageBreakBefore w:val="0"/>
        <w:widowControl w:val="0"/>
        <w:kinsoku/>
        <w:wordWrap/>
        <w:overflowPunct/>
        <w:topLinePunct w:val="0"/>
        <w:autoSpaceDE/>
        <w:autoSpaceDN/>
        <w:bidi w:val="0"/>
        <w:adjustRightInd/>
        <w:snapToGrid/>
        <w:spacing w:line="460" w:lineRule="exact"/>
        <w:ind w:left="0" w:leftChars="0" w:firstLine="562"/>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（二）货物第一次验收合格满   个月后，进行二次验收，验收合格后</w:t>
      </w:r>
      <w:r>
        <w:rPr>
          <w:rFonts w:ascii="仿宋_GB2312" w:hAnsi="仿宋_GB2312" w:eastAsia="仿宋_GB2312" w:cs="仿宋_GB2312"/>
          <w:b/>
          <w:bCs/>
          <w:color w:val="auto"/>
          <w:sz w:val="28"/>
          <w:szCs w:val="28"/>
        </w:rPr>
        <w:t>达到付款条件起10日内</w:t>
      </w:r>
      <w:r>
        <w:rPr>
          <w:rFonts w:hint="eastAsia" w:ascii="仿宋_GB2312" w:hAnsi="仿宋_GB2312" w:eastAsia="仿宋_GB2312" w:cs="仿宋_GB2312"/>
          <w:b/>
          <w:bCs/>
          <w:color w:val="auto"/>
          <w:sz w:val="28"/>
          <w:szCs w:val="28"/>
        </w:rPr>
        <w:t>，无息支付验收合格产品对应金额总价5%。</w:t>
      </w:r>
    </w:p>
    <w:p w14:paraId="67E8F06F">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（三）支付方式：银行转帐。</w:t>
      </w:r>
    </w:p>
    <w:p w14:paraId="20E729A2">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乙方确认以下信息为收款信息：</w:t>
      </w:r>
    </w:p>
    <w:p w14:paraId="21D06820">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开户名：</w:t>
      </w:r>
    </w:p>
    <w:p w14:paraId="0CA37C72">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开户行：</w:t>
      </w:r>
    </w:p>
    <w:p w14:paraId="0EE6D32A">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账号：</w:t>
      </w:r>
    </w:p>
    <w:p w14:paraId="31E91A01">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color w:val="auto"/>
          <w:sz w:val="28"/>
          <w:szCs w:val="28"/>
        </w:rPr>
        <w:t>（四</w:t>
      </w:r>
      <w:r>
        <w:rPr>
          <w:rFonts w:hint="eastAsia" w:ascii="仿宋_GB2312" w:hAnsi="仿宋_GB2312" w:eastAsia="仿宋_GB2312" w:cs="仿宋_GB2312"/>
          <w:b/>
          <w:bCs/>
          <w:color w:val="auto"/>
          <w:sz w:val="28"/>
          <w:szCs w:val="28"/>
        </w:rPr>
        <w:t>）</w:t>
      </w:r>
      <w:r>
        <w:rPr>
          <w:rFonts w:hint="eastAsia" w:ascii="华文仿宋" w:hAnsi="华文仿宋" w:eastAsia="华文仿宋" w:cs="华文仿宋"/>
          <w:b/>
          <w:bCs/>
          <w:color w:val="auto"/>
          <w:sz w:val="28"/>
          <w:szCs w:val="28"/>
        </w:rPr>
        <w:t>结算方式：所有货物验收合格后，乙方持发票（按合同总价由乙方直开甲方）、项目验收单、采购合同，到甲方办理资金结算。</w:t>
      </w:r>
    </w:p>
    <w:p w14:paraId="3FF12516">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四、双方的权利和义务</w:t>
      </w:r>
    </w:p>
    <w:p w14:paraId="5CC3933B">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（一）甲方的权利和义务</w:t>
      </w:r>
    </w:p>
    <w:p w14:paraId="735D5FDD">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甲方权利：组织使用单位严格按照招标文件及投标文件要求和标准验收货物。</w:t>
      </w:r>
    </w:p>
    <w:p w14:paraId="2FE2232F">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甲方义务：积极配合乙方安装、调试等工作；组织、开展验收工作。</w:t>
      </w:r>
    </w:p>
    <w:p w14:paraId="46E822C6">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（二）乙方的权利和义务</w:t>
      </w:r>
    </w:p>
    <w:p w14:paraId="7F81821B">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乙方权利：按照合同约定要求甲方及时付款。</w:t>
      </w:r>
    </w:p>
    <w:p w14:paraId="26C2C58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义务：按照合同约定时间，按甲方指定地点提供货物并确保货物质量，配合验收工作，并负责安装、调试、提供现场技术培训，保证使用人员正常操作设备的各种功能，提供双向免费接口服务；乙方确保通过合法招投标程序，在公平公正的基础上中标本次项目，本项目在若经监管部门定性为串通投标等违法情形的，乙方应承担由此产生的一切责任（包括但不限于刑事责任、行政责任、民事赔偿责任等），由此给甲方造成损失的，乙方应当赔偿甲方全部损失（包括但不限于甲方因维权产生的诉讼费、公证费、保全费以及律师费等）。</w:t>
      </w:r>
    </w:p>
    <w:p w14:paraId="785C1BA7">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乙方保证货物后期可与甲方各类信息化网络系统双向接口免费对接，即供应商应负责与甲方及甲方信息化网络系统供应商的接口均完成对接，过程中所产生的全部费用由乙方承担。</w:t>
      </w:r>
    </w:p>
    <w:p w14:paraId="0BBBBACC">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五、交货条件：</w:t>
      </w:r>
    </w:p>
    <w:p w14:paraId="534C1CC0">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（一）交货地点：甲方指定地点。</w:t>
      </w:r>
    </w:p>
    <w:p w14:paraId="01FDC4FB">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（二）交货期：合同签订后自甲方通知日起，  日完成货物的安装、调试并正常运行，不得延期。</w:t>
      </w:r>
    </w:p>
    <w:p w14:paraId="4A480E84">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六、运输</w:t>
      </w:r>
    </w:p>
    <w:p w14:paraId="5704608A">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（一）运输由乙方负责，运杂费已包含在合同总价内，包括从货物供应地点所含的运输费、装卸费、仓储费、保险费等全部费用。</w:t>
      </w:r>
    </w:p>
    <w:p w14:paraId="089A83E0">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（二）运输方式由乙方自行选择，但必须保证按期交货。</w:t>
      </w:r>
    </w:p>
    <w:p w14:paraId="559104A8">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 w:eastAsia="仿宋_GB2312" w:cs="仿宋_GB2312"/>
          <w:bCs/>
          <w:color w:val="auto"/>
          <w:kern w:val="36"/>
          <w:sz w:val="28"/>
          <w:szCs w:val="28"/>
        </w:rPr>
      </w:pPr>
      <w:r>
        <w:rPr>
          <w:rFonts w:hint="eastAsia" w:ascii="仿宋_GB2312" w:hAnsi="仿宋_GB2312" w:eastAsia="仿宋_GB2312" w:cs="仿宋_GB2312"/>
          <w:color w:val="auto"/>
          <w:sz w:val="28"/>
          <w:szCs w:val="28"/>
        </w:rPr>
        <w:t>（三）</w:t>
      </w:r>
      <w:r>
        <w:rPr>
          <w:rFonts w:hint="eastAsia" w:ascii="仿宋_GB2312" w:hAnsi="仿宋" w:eastAsia="仿宋_GB2312" w:cs="仿宋_GB2312"/>
          <w:bCs/>
          <w:color w:val="auto"/>
          <w:kern w:val="36"/>
          <w:sz w:val="28"/>
          <w:szCs w:val="28"/>
          <w:lang w:bidi="ar"/>
        </w:rPr>
        <w:t>货物验收合格前产生的一切毁损、灭失的风险及质量问题均由乙方承担。</w:t>
      </w:r>
    </w:p>
    <w:p w14:paraId="6E8587C3">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七、质量保证</w:t>
      </w:r>
    </w:p>
    <w:p w14:paraId="79C9A9A6">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乙方所供货物必须执行下列条款：</w:t>
      </w:r>
    </w:p>
    <w:p w14:paraId="0FF7C097">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（一）保证技术指标先进、质量性能可靠、进货渠道正常，配置合理，全面满足谈判要求。</w:t>
      </w:r>
    </w:p>
    <w:p w14:paraId="4BF99347">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（二）符合国家有关规范要求，确保达到最佳运行状态。</w:t>
      </w:r>
    </w:p>
    <w:p w14:paraId="491F27A0">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（三）具有良好的外观，适合安装场所的使用。</w:t>
      </w:r>
    </w:p>
    <w:p w14:paraId="62F53E37">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（四）自安装、调试正常运行且甲方验收合格之日起（以入账时间为准)。</w:t>
      </w:r>
    </w:p>
    <w:p w14:paraId="3748595D">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1、整机免费保修    年，终身维护，免费保修期内，同一部件出现质量问题经过两次维修后仍无法正常使用，可以更换同型号、同规格的全新产品，服务响应时间不超过2小时，对问题较大短期内暂不能解决的，为不影响甲方正常工作，乙方在2日内免费提供替代产品，确保正常运行，由此产生的全部费用由乙方承担；</w:t>
      </w:r>
    </w:p>
    <w:p w14:paraId="4D4321E1">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2、30天内，如出现质量问题，可以选择换货或退货；</w:t>
      </w:r>
    </w:p>
    <w:p w14:paraId="3172DF43">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3、30至60天内，如出现质量问题，可选择换货。</w:t>
      </w:r>
    </w:p>
    <w:p w14:paraId="3A46E07E">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设备因产品质量或设计缺陷等问题，而发生的医疗差错或医疗纠纷由乙方及生产厂商负全部责任。由此给甲方造成损失的，乙方应负责全额赔偿（包括但不限于甲方因维权产生的诉讼费、公证费、保全费以及律师费等）。</w:t>
      </w:r>
    </w:p>
    <w:p w14:paraId="5D6C3D8A">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（六）保证设备后期可与甲方各类信息化网络系统免费无缝链接。</w:t>
      </w:r>
    </w:p>
    <w:p w14:paraId="22F2AA10">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八、售后服务</w:t>
      </w:r>
    </w:p>
    <w:p w14:paraId="79D30829">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乙方所供货物提供以下售后服务：</w:t>
      </w:r>
    </w:p>
    <w:p w14:paraId="0F10414E">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color w:val="auto"/>
          <w:sz w:val="28"/>
          <w:szCs w:val="28"/>
        </w:rPr>
        <w:t>（一）</w:t>
      </w:r>
      <w:r>
        <w:rPr>
          <w:rFonts w:hint="eastAsia" w:ascii="仿宋_GB2312" w:hAnsi="仿宋_GB2312" w:eastAsia="仿宋_GB2312" w:cs="仿宋_GB2312"/>
          <w:b/>
          <w:bCs/>
          <w:color w:val="auto"/>
          <w:sz w:val="28"/>
          <w:szCs w:val="28"/>
        </w:rPr>
        <w:t>保修期内：</w:t>
      </w:r>
    </w:p>
    <w:p w14:paraId="764CA685">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1、发生质量问题，接到甲方通知后，应于2小时内派出专业的维修人员到现场进行检测维修，发生的全部费用由乙方承担，若需送回生产厂家，乙方承担往返费用；</w:t>
      </w:r>
    </w:p>
    <w:p w14:paraId="33DB177D">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2、定期派技术人员到现场走访，给予检查维护，一年不少于2次；</w:t>
      </w:r>
    </w:p>
    <w:p w14:paraId="3AB65790">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3、排除故障的期限不得超过48小时。否则甲方有权指定第三方维修，维修等全部费用由乙方承担。</w:t>
      </w:r>
    </w:p>
    <w:p w14:paraId="63168A44">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4、对质保期内采购设备配备软件免费更新。</w:t>
      </w:r>
    </w:p>
    <w:p w14:paraId="72B16BF8">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5、若违反以上任何一条，乙方还需向甲方按合同总价款的30%（与招标文件一致）支付违约金。</w:t>
      </w:r>
    </w:p>
    <w:p w14:paraId="4BA27D4A">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（二）保修期结束后，乙方免费提供全面保养维护并进行自检、</w:t>
      </w:r>
      <w:r>
        <w:rPr>
          <w:rFonts w:hint="eastAsia" w:ascii="华文仿宋" w:hAnsi="华文仿宋" w:eastAsia="华文仿宋" w:cs="华文仿宋"/>
          <w:b/>
          <w:bCs/>
          <w:color w:val="auto"/>
          <w:sz w:val="28"/>
          <w:szCs w:val="28"/>
        </w:rPr>
        <w:t>系统测试</w:t>
      </w:r>
      <w:r>
        <w:rPr>
          <w:rFonts w:hint="eastAsia" w:ascii="仿宋_GB2312" w:hAnsi="仿宋_GB2312" w:eastAsia="仿宋_GB2312" w:cs="仿宋_GB2312"/>
          <w:b/>
          <w:bCs/>
          <w:color w:val="auto"/>
          <w:sz w:val="28"/>
          <w:szCs w:val="28"/>
        </w:rPr>
        <w:t>，确保正常运行。</w:t>
      </w:r>
    </w:p>
    <w:p w14:paraId="7865EC77">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根据《医疗器械使用质量监督管理办法》（18号令）规定，甲方有权委托维修服务机构或者自行对在用医疗器械进行维护维修，乙方应终身免费提供维护手册、维修手册、软件备份、故障代码表、备件清单、零部件、维修密码等维护维修必须的材料和信息。</w:t>
      </w:r>
    </w:p>
    <w:p w14:paraId="59982F8B">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九、技术与服务</w:t>
      </w:r>
    </w:p>
    <w:p w14:paraId="4485AA7E">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（一）技术资料：</w:t>
      </w:r>
    </w:p>
    <w:p w14:paraId="62E37531">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1、货物合格证；</w:t>
      </w:r>
    </w:p>
    <w:p w14:paraId="6CF4704D">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2、货物使用说明书（中文）；</w:t>
      </w:r>
    </w:p>
    <w:p w14:paraId="5D780BB1">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3、项目竣工资料、检验测试报告；</w:t>
      </w:r>
    </w:p>
    <w:p w14:paraId="2631C6F2">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4、进口医疗设备报关单与商检证明；</w:t>
      </w:r>
    </w:p>
    <w:p w14:paraId="242763A1">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5、其它资料。</w:t>
      </w:r>
    </w:p>
    <w:p w14:paraId="21321827">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（二）服务承诺：以投标文件、澄清表（函）、合同和随货物的相关文件为准。</w:t>
      </w:r>
    </w:p>
    <w:p w14:paraId="3039902F">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（三）培训：乙方须在设备安装调试完成后免费对甲方操作人员进行使用、保养等技术培训,确保被培训人员掌握相关操作技术、具备操作技能可进行日常保养为止。</w:t>
      </w:r>
    </w:p>
    <w:p w14:paraId="4F0211CA">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十、验收</w:t>
      </w:r>
    </w:p>
    <w:p w14:paraId="68676327">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验收由甲方组织，乙方配合进行：</w:t>
      </w:r>
    </w:p>
    <w:p w14:paraId="20E5D3F9">
      <w:pPr>
        <w:keepNext w:val="0"/>
        <w:keepLines w:val="0"/>
        <w:pageBreakBefore w:val="0"/>
        <w:widowControl w:val="0"/>
        <w:numPr>
          <w:ilvl w:val="0"/>
          <w:numId w:val="1"/>
        </w:numPr>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货物到达甲方指定地点后，甲方依据合同要求，进行清点验收、性能功能验收、培训及增值服务验收工作；在验收期间发生重大质量问题，甲方有权依据本合同第十一条第（二）款之约定单方解除合同，或要求乙方更换货物，如更换货物由甲方重新组织验收工作，但交付期不顺延，由此导致交付逾期的，乙方仍应承担逾期交付的违约责任。</w:t>
      </w:r>
    </w:p>
    <w:p w14:paraId="632116DD">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3D2E0729">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验收时如发现所交付的货物有缺项、次品、损坏或其它不符合标准及本合同约定之情形者，甲方应做出详尽的现场记录，记录形式包括摄像、拍照、乙方证明人的说明，并由甲乙双方签署备忘录，此现场记录或备忘录可用作补充缺失和更换损坏部件和更换符合要求的整机之有效证据，由此产生的时间延误与相关费用由乙方承担，验收期限相应顺延；</w:t>
      </w:r>
    </w:p>
    <w:p w14:paraId="412C7106">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（四）乙方向甲方提交货物实施过程中的所有资料以便甲方日后管理和维护。</w:t>
      </w:r>
    </w:p>
    <w:p w14:paraId="7D5A1CED">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（五）甲方在验收合格后，填写项目验收单（一式贰份）作为对本项目最终认可。</w:t>
      </w:r>
    </w:p>
    <w:p w14:paraId="5FC19DB8">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（六）验收依据：</w:t>
      </w:r>
    </w:p>
    <w:p w14:paraId="6B65257D">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1、招标文件、投标文件、澄清表（函）；</w:t>
      </w:r>
    </w:p>
    <w:p w14:paraId="585B8C0E">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2、本合同及附件文本；</w:t>
      </w:r>
    </w:p>
    <w:p w14:paraId="059B85B6">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3、国家相应的标准、规范。</w:t>
      </w:r>
    </w:p>
    <w:p w14:paraId="1F5F696F">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4、完成培训内容并书面留档。</w:t>
      </w:r>
    </w:p>
    <w:p w14:paraId="5C7E4370">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十一、违约责任</w:t>
      </w:r>
    </w:p>
    <w:p w14:paraId="22145AAA">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（一）双方按《政府采购法》《</w:t>
      </w:r>
      <w:r>
        <w:rPr>
          <w:rFonts w:hint="eastAsia" w:ascii="仿宋" w:hAnsi="仿宋" w:eastAsia="仿宋" w:cs="仿宋"/>
          <w:bCs/>
          <w:color w:val="auto"/>
          <w:sz w:val="28"/>
          <w:szCs w:val="28"/>
        </w:rPr>
        <w:t>中华人民共和国民法典</w:t>
      </w:r>
      <w:r>
        <w:rPr>
          <w:rFonts w:hint="eastAsia" w:ascii="仿宋_GB2312" w:hAnsi="仿宋_GB2312" w:eastAsia="仿宋_GB2312" w:cs="仿宋_GB2312"/>
          <w:color w:val="auto"/>
          <w:sz w:val="28"/>
          <w:szCs w:val="28"/>
        </w:rPr>
        <w:t>》中的相关条款执行。</w:t>
      </w:r>
    </w:p>
    <w:p w14:paraId="760CD3DB">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（二）乙方未按合同要求提供货物或质量不能满足</w:t>
      </w:r>
      <w:r>
        <w:rPr>
          <w:rFonts w:hint="eastAsia" w:ascii="仿宋_GB2312" w:hAnsi="仿宋" w:eastAsia="仿宋_GB2312" w:cs="仿宋_GB2312"/>
          <w:color w:val="auto"/>
          <w:sz w:val="28"/>
          <w:szCs w:val="28"/>
          <w:lang w:bidi="ar"/>
        </w:rPr>
        <w:t>本合同、招标文件、投标文件等相关文件</w:t>
      </w:r>
      <w:r>
        <w:rPr>
          <w:rFonts w:hint="eastAsia" w:ascii="仿宋_GB2312" w:hAnsi="仿宋_GB2312" w:eastAsia="仿宋_GB2312" w:cs="仿宋_GB2312"/>
          <w:color w:val="auto"/>
          <w:sz w:val="28"/>
          <w:szCs w:val="28"/>
        </w:rPr>
        <w:t>要求的，乙方须在合同约定的交货期内无条件更换合格的货物交付给甲方，若甲方有实际损失的乙方还应赔偿甲方的实际损失。否则，甲方有权解除合同，合同自甲方书面解除通知到达乙方之日起解除</w:t>
      </w:r>
      <w:r>
        <w:rPr>
          <w:rFonts w:hint="eastAsia" w:ascii="仿宋" w:hAnsi="仿宋" w:eastAsia="仿宋" w:cs="仿宋"/>
          <w:bCs/>
          <w:color w:val="auto"/>
          <w:sz w:val="28"/>
          <w:szCs w:val="28"/>
        </w:rPr>
        <w:t>，乙方向甲方支付违约金，违约金计算方法：以合同总价为基数，支付甲方合同最高限价的30%违约金；若违约金不足以弥补甲方所受损失，则甲方可以要求乙方赔偿解除合同的全部损失（包括但不限于律师费、重新采购产生的费用、合同未履行导致设备不能按规划交付使用可能产生的租赁费用及其它由此造成的甲方对第三方的违约损失）</w:t>
      </w:r>
      <w:r>
        <w:rPr>
          <w:rFonts w:hint="eastAsia" w:ascii="仿宋_GB2312" w:hAnsi="仿宋_GB2312" w:eastAsia="仿宋_GB2312" w:cs="仿宋_GB2312"/>
          <w:color w:val="auto"/>
          <w:sz w:val="28"/>
          <w:szCs w:val="28"/>
        </w:rPr>
        <w:t>。同时甲方有权对乙方的违约行为报监管机构进行相应的处罚。</w:t>
      </w:r>
    </w:p>
    <w:p w14:paraId="24DCCF3C">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乙方逾期交付货物的，除应及时交足货物外，同时向甲方支付逾期交货部分货款总额的百分之一/天的违约金；逾期交货超过10天，甲方有权解除合同，合同自甲方书面解除通知到达乙方之日起解除，乙方则应按合同最高限价的30%向甲方支付违约金，若违约金不足以弥补甲方损失，则甲方可要求乙方赔偿解除合同的全部损失（包括但不限于律师费、重新采购产生的费用、合同未履行导致设备不能按规划交付使用可能产生的租赁费用及其他由此造成的甲方对第三方的违约损失），同时甲方有权将乙方违约事宜上报至财政监督管理部门备案。</w:t>
      </w:r>
    </w:p>
    <w:p w14:paraId="313439C5">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十二、合同争议解决的方式</w:t>
      </w:r>
    </w:p>
    <w:p w14:paraId="415B2CC7">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本合同在履行过程中发生的争议，由甲、乙双方当事人协商解决，协商不成的依法向甲方所在地人民法院起诉。</w:t>
      </w:r>
    </w:p>
    <w:p w14:paraId="61FA8A5C">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十三、合同生效</w:t>
      </w:r>
    </w:p>
    <w:p w14:paraId="2419746E">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本合同一式捌份，甲方执陆份，乙方、鉴证方各执壹份，均具有同等法律效力。本合同经甲、乙、鉴证方各方签字盖章后生效，合同执行完毕后，自动终止（合同的服务承诺则长期有效）。</w:t>
      </w:r>
    </w:p>
    <w:p w14:paraId="55DE28B1">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十四、其他事项</w:t>
      </w:r>
    </w:p>
    <w:p w14:paraId="769F3131">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（一）鉴证方作为政府集中采购代理机构对合同进行确认。</w:t>
      </w:r>
    </w:p>
    <w:p w14:paraId="3254778C">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（二）西安市财政局政府采购管理处在合同的履行期间以及履行期后，可以随时检查项目的执行情况，对采购内容、标准进行调查核实，并对发现的问题进行处理。</w:t>
      </w:r>
    </w:p>
    <w:p w14:paraId="1E61C9BB">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（三）招标文件、投标文件、澄清表（函）、中标通知书、合同附件均成为合同不可分割的部分，与本合同具有同等法律效力。</w:t>
      </w:r>
    </w:p>
    <w:p w14:paraId="58F64F5D">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（四）合同未尽事宜，由甲、乙双方协商，经鉴证方确认后签订补充协议，作为合同补充，补充协议与原合同具有同等法律效力。补充协议与原合同约定不一致的，以补充协议为准。</w:t>
      </w:r>
    </w:p>
    <w:p w14:paraId="0A2FC282">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（五）合同一经签订，不得擅自变更、解除或终止合同。对确需变更、解除、终止合同的，应按规定履行相应的手续。</w:t>
      </w:r>
    </w:p>
    <w:p w14:paraId="00DE36A9">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（六）本合同按照中华人民共和国的现行法律进行解释。</w:t>
      </w:r>
    </w:p>
    <w:p w14:paraId="73434BEC">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color w:val="auto"/>
        </w:rPr>
      </w:pPr>
      <w:r>
        <w:rPr>
          <w:rFonts w:hint="eastAsia" w:ascii="仿宋_GB2312" w:hAnsi="仿宋_GB2312" w:eastAsia="仿宋_GB2312" w:cs="仿宋_GB2312"/>
          <w:color w:val="auto"/>
          <w:sz w:val="28"/>
          <w:szCs w:val="28"/>
        </w:rPr>
        <w:t>（七）本合同附件作为本合同的组成部份，与本合同具有同等法律效力。</w:t>
      </w:r>
    </w:p>
    <w:p w14:paraId="7E981DAD">
      <w:pPr>
        <w:pStyle w:val="9"/>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附件：</w:t>
      </w:r>
    </w:p>
    <w:p w14:paraId="3C06180B">
      <w:pPr>
        <w:pStyle w:val="9"/>
        <w:keepNext w:val="0"/>
        <w:keepLines w:val="0"/>
        <w:pageBreakBefore w:val="0"/>
        <w:widowControl w:val="0"/>
        <w:numPr>
          <w:ilvl w:val="0"/>
          <w:numId w:val="2"/>
        </w:numPr>
        <w:kinsoku/>
        <w:wordWrap/>
        <w:overflowPunct/>
        <w:topLinePunct w:val="0"/>
        <w:autoSpaceDE/>
        <w:autoSpaceDN/>
        <w:bidi w:val="0"/>
        <w:adjustRightInd/>
        <w:snapToGrid/>
        <w:spacing w:line="460" w:lineRule="exact"/>
        <w:ind w:firstLine="56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西安市人民医院（西安市第四医院）</w:t>
      </w:r>
      <w:r>
        <w:rPr>
          <w:rFonts w:hint="eastAsia" w:ascii="仿宋_GB2312" w:hAnsi="仿宋_GB2312" w:eastAsia="仿宋_GB2312" w:cs="仿宋_GB2312"/>
          <w:color w:val="auto"/>
          <w:sz w:val="28"/>
          <w:szCs w:val="28"/>
          <w:u w:val="single"/>
        </w:rPr>
        <w:t xml:space="preserve">              项</w:t>
      </w:r>
      <w:r>
        <w:rPr>
          <w:rFonts w:hint="eastAsia" w:ascii="仿宋_GB2312" w:hAnsi="仿宋_GB2312" w:eastAsia="仿宋_GB2312" w:cs="仿宋_GB2312"/>
          <w:color w:val="auto"/>
          <w:sz w:val="28"/>
          <w:szCs w:val="28"/>
        </w:rPr>
        <w:t>目配置清单</w:t>
      </w:r>
    </w:p>
    <w:p w14:paraId="0D7209E3">
      <w:pPr>
        <w:keepNext w:val="0"/>
        <w:keepLines w:val="0"/>
        <w:pageBreakBefore w:val="0"/>
        <w:widowControl w:val="0"/>
        <w:numPr>
          <w:ilvl w:val="0"/>
          <w:numId w:val="2"/>
        </w:numPr>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品目耗材报价表</w:t>
      </w:r>
    </w:p>
    <w:p w14:paraId="1C1BFB6D">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（以下无正文）</w:t>
      </w:r>
    </w:p>
    <w:p w14:paraId="483DA893">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p>
    <w:p w14:paraId="02350D9C">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p>
    <w:p w14:paraId="0AADCFF7">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甲方：西安市人民医院            乙方：</w:t>
      </w:r>
    </w:p>
    <w:p w14:paraId="3ECC7827">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1120" w:firstLineChars="4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（西安市第四医院）            </w:t>
      </w:r>
    </w:p>
    <w:p w14:paraId="4498A6AA">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地址：西安市新城区解放路21号   地址：</w:t>
      </w:r>
    </w:p>
    <w:p w14:paraId="667DF70A">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p>
    <w:p w14:paraId="731B7406">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p>
    <w:p w14:paraId="52143DA8">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法定代表人：                     法定代表人：</w:t>
      </w:r>
    </w:p>
    <w:p w14:paraId="7B0FE372">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w:t>
      </w:r>
    </w:p>
    <w:p w14:paraId="0F1EDCD8">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联系电话：                       联系电话：</w:t>
      </w:r>
    </w:p>
    <w:p w14:paraId="0C4D2A02">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签订日期：    年  月  日        签订日期：   年  月  日</w:t>
      </w:r>
    </w:p>
    <w:p w14:paraId="341B9D84">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p>
    <w:p w14:paraId="5B19BFA1">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p>
    <w:p w14:paraId="04CCD9B7">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鉴证方：</w:t>
      </w:r>
    </w:p>
    <w:p w14:paraId="6A1AB650">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地  址：</w:t>
      </w:r>
    </w:p>
    <w:p w14:paraId="40466662">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法定代表人：</w:t>
      </w:r>
    </w:p>
    <w:p w14:paraId="1ED37D21">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代理人：</w:t>
      </w:r>
    </w:p>
    <w:p w14:paraId="10FEF0BB">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联系电话：</w:t>
      </w:r>
    </w:p>
    <w:p w14:paraId="136DD147">
      <w:pPr>
        <w:keepNext w:val="0"/>
        <w:keepLines w:val="0"/>
        <w:pageBreakBefore w:val="0"/>
        <w:widowControl w:val="0"/>
        <w:tabs>
          <w:tab w:val="left" w:pos="480"/>
        </w:tabs>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签订日期：    年  月  日</w:t>
      </w:r>
    </w:p>
    <w:p w14:paraId="10E2DE0A">
      <w:pPr>
        <w:tabs>
          <w:tab w:val="left" w:pos="675"/>
        </w:tabs>
        <w:rPr>
          <w:rFonts w:hint="eastAsia" w:ascii="仿宋_GB2312" w:hAnsi="仿宋_GB2312" w:eastAsia="仿宋_GB2312" w:cs="仿宋_GB2312"/>
          <w:b/>
          <w:color w:val="auto"/>
          <w:sz w:val="32"/>
          <w:szCs w:val="32"/>
        </w:rPr>
      </w:pPr>
    </w:p>
    <w:p w14:paraId="74F1B13E">
      <w:pPr>
        <w:tabs>
          <w:tab w:val="left" w:pos="675"/>
        </w:tabs>
        <w:rPr>
          <w:rFonts w:hint="eastAsia" w:ascii="仿宋_GB2312" w:hAnsi="仿宋_GB2312" w:eastAsia="仿宋_GB2312" w:cs="仿宋_GB2312"/>
          <w:b/>
          <w:color w:val="auto"/>
          <w:sz w:val="32"/>
          <w:szCs w:val="32"/>
        </w:rPr>
      </w:pPr>
    </w:p>
    <w:p w14:paraId="3532A2E1">
      <w:pPr>
        <w:tabs>
          <w:tab w:val="left" w:pos="675"/>
        </w:tabs>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br w:type="page"/>
      </w:r>
      <w:r>
        <w:rPr>
          <w:rFonts w:hint="eastAsia" w:ascii="仿宋_GB2312" w:hAnsi="仿宋_GB2312" w:eastAsia="仿宋_GB2312" w:cs="仿宋_GB2312"/>
          <w:b/>
          <w:color w:val="auto"/>
          <w:sz w:val="32"/>
          <w:szCs w:val="32"/>
        </w:rPr>
        <w:t>附件1：</w:t>
      </w:r>
    </w:p>
    <w:p w14:paraId="3D6C47E9">
      <w:pPr>
        <w:tabs>
          <w:tab w:val="left" w:pos="675"/>
        </w:tabs>
        <w:jc w:val="center"/>
        <w:rPr>
          <w:rFonts w:hint="eastAsia" w:ascii="仿宋_GB2312" w:hAnsi="仿宋_GB2312" w:eastAsia="仿宋_GB2312" w:cs="仿宋_GB2312"/>
          <w:b/>
          <w:color w:val="auto"/>
          <w:sz w:val="32"/>
          <w:szCs w:val="32"/>
        </w:rPr>
      </w:pPr>
    </w:p>
    <w:p w14:paraId="2820EEF1">
      <w:pPr>
        <w:tabs>
          <w:tab w:val="left" w:pos="675"/>
        </w:tabs>
        <w:jc w:val="center"/>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西安市人民医院（西安市第四医院）</w:t>
      </w:r>
      <w:r>
        <w:rPr>
          <w:rFonts w:hint="eastAsia" w:ascii="仿宋_GB2312" w:hAnsi="仿宋_GB2312" w:eastAsia="仿宋_GB2312" w:cs="仿宋_GB2312"/>
          <w:b/>
          <w:color w:val="auto"/>
          <w:sz w:val="32"/>
          <w:szCs w:val="32"/>
          <w:u w:val="single"/>
        </w:rPr>
        <w:t xml:space="preserve">              </w:t>
      </w:r>
      <w:r>
        <w:rPr>
          <w:rFonts w:hint="eastAsia" w:ascii="仿宋_GB2312" w:hAnsi="仿宋_GB2312" w:eastAsia="仿宋_GB2312" w:cs="仿宋_GB2312"/>
          <w:b/>
          <w:color w:val="auto"/>
          <w:sz w:val="32"/>
          <w:szCs w:val="32"/>
        </w:rPr>
        <w:t>配置清单</w:t>
      </w:r>
    </w:p>
    <w:p w14:paraId="3A976159">
      <w:pPr>
        <w:tabs>
          <w:tab w:val="left" w:pos="675"/>
        </w:tabs>
        <w:jc w:val="center"/>
        <w:rPr>
          <w:rFonts w:hint="eastAsia" w:ascii="仿宋_GB2312" w:hAnsi="仿宋_GB2312" w:eastAsia="仿宋_GB2312" w:cs="仿宋_GB2312"/>
          <w:b/>
          <w:color w:val="auto"/>
          <w:sz w:val="30"/>
          <w:szCs w:val="30"/>
        </w:rPr>
      </w:pPr>
    </w:p>
    <w:tbl>
      <w:tblPr>
        <w:tblStyle w:val="7"/>
        <w:tblW w:w="9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2631"/>
        <w:gridCol w:w="1911"/>
        <w:gridCol w:w="850"/>
        <w:gridCol w:w="1560"/>
        <w:gridCol w:w="1288"/>
        <w:gridCol w:w="969"/>
      </w:tblGrid>
      <w:tr w14:paraId="69C0C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695" w:type="dxa"/>
            <w:tcBorders>
              <w:top w:val="single" w:color="auto" w:sz="4" w:space="0"/>
              <w:left w:val="single" w:color="auto" w:sz="4" w:space="0"/>
              <w:bottom w:val="single" w:color="auto" w:sz="4" w:space="0"/>
              <w:right w:val="single" w:color="auto" w:sz="4" w:space="0"/>
            </w:tcBorders>
            <w:noWrap w:val="0"/>
            <w:vAlign w:val="center"/>
          </w:tcPr>
          <w:p w14:paraId="45E2A2CC">
            <w:pPr>
              <w:tabs>
                <w:tab w:val="left" w:pos="480"/>
              </w:tabs>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序号</w:t>
            </w:r>
          </w:p>
        </w:tc>
        <w:tc>
          <w:tcPr>
            <w:tcW w:w="2631" w:type="dxa"/>
            <w:tcBorders>
              <w:top w:val="single" w:color="auto" w:sz="4" w:space="0"/>
              <w:left w:val="single" w:color="auto" w:sz="4" w:space="0"/>
              <w:bottom w:val="single" w:color="auto" w:sz="4" w:space="0"/>
              <w:right w:val="single" w:color="auto" w:sz="4" w:space="0"/>
            </w:tcBorders>
            <w:noWrap w:val="0"/>
            <w:vAlign w:val="center"/>
          </w:tcPr>
          <w:p w14:paraId="3CFEFBFC">
            <w:pPr>
              <w:tabs>
                <w:tab w:val="left" w:pos="480"/>
              </w:tabs>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货物名称</w:t>
            </w:r>
          </w:p>
        </w:tc>
        <w:tc>
          <w:tcPr>
            <w:tcW w:w="1911" w:type="dxa"/>
            <w:tcBorders>
              <w:top w:val="single" w:color="auto" w:sz="4" w:space="0"/>
              <w:left w:val="single" w:color="auto" w:sz="4" w:space="0"/>
              <w:bottom w:val="single" w:color="auto" w:sz="4" w:space="0"/>
              <w:right w:val="single" w:color="auto" w:sz="4" w:space="0"/>
            </w:tcBorders>
            <w:noWrap w:val="0"/>
            <w:vAlign w:val="center"/>
          </w:tcPr>
          <w:p w14:paraId="5672CF50">
            <w:pPr>
              <w:tabs>
                <w:tab w:val="left" w:pos="480"/>
              </w:tabs>
              <w:jc w:val="center"/>
              <w:rPr>
                <w:rFonts w:ascii="仿宋_GB2312" w:hAnsi="仿宋_GB2312" w:eastAsia="仿宋_GB2312" w:cs="仿宋_GB2312"/>
                <w:color w:val="auto"/>
                <w:szCs w:val="21"/>
              </w:rPr>
            </w:pPr>
            <w:r>
              <w:rPr>
                <w:rFonts w:hint="eastAsia" w:ascii="仿宋_GB2312" w:hAnsi="仿宋_GB2312" w:eastAsia="仿宋_GB2312" w:cs="仿宋_GB2312"/>
                <w:color w:val="auto"/>
                <w:szCs w:val="21"/>
              </w:rPr>
              <w:t>规格、型号</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174A710D">
            <w:pPr>
              <w:tabs>
                <w:tab w:val="left" w:pos="480"/>
              </w:tabs>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数量</w:t>
            </w:r>
          </w:p>
        </w:tc>
        <w:tc>
          <w:tcPr>
            <w:tcW w:w="1560" w:type="dxa"/>
            <w:tcBorders>
              <w:top w:val="single" w:color="auto" w:sz="4" w:space="0"/>
              <w:left w:val="single" w:color="auto" w:sz="4" w:space="0"/>
              <w:bottom w:val="single" w:color="auto" w:sz="4" w:space="0"/>
              <w:right w:val="single" w:color="auto" w:sz="4" w:space="0"/>
            </w:tcBorders>
            <w:noWrap w:val="0"/>
            <w:vAlign w:val="top"/>
          </w:tcPr>
          <w:p w14:paraId="706DA73A">
            <w:pPr>
              <w:tabs>
                <w:tab w:val="left" w:pos="480"/>
              </w:tabs>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产地</w:t>
            </w:r>
          </w:p>
        </w:tc>
        <w:tc>
          <w:tcPr>
            <w:tcW w:w="1288" w:type="dxa"/>
            <w:tcBorders>
              <w:top w:val="single" w:color="auto" w:sz="4" w:space="0"/>
              <w:left w:val="single" w:color="auto" w:sz="4" w:space="0"/>
              <w:bottom w:val="single" w:color="auto" w:sz="4" w:space="0"/>
              <w:right w:val="single" w:color="auto" w:sz="4" w:space="0"/>
            </w:tcBorders>
            <w:noWrap w:val="0"/>
            <w:vAlign w:val="top"/>
          </w:tcPr>
          <w:p w14:paraId="17C373CE">
            <w:pPr>
              <w:tabs>
                <w:tab w:val="left" w:pos="480"/>
              </w:tabs>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生产厂家</w:t>
            </w:r>
          </w:p>
        </w:tc>
        <w:tc>
          <w:tcPr>
            <w:tcW w:w="969" w:type="dxa"/>
            <w:tcBorders>
              <w:top w:val="single" w:color="auto" w:sz="4" w:space="0"/>
              <w:left w:val="single" w:color="auto" w:sz="4" w:space="0"/>
              <w:bottom w:val="single" w:color="auto" w:sz="4" w:space="0"/>
              <w:right w:val="single" w:color="auto" w:sz="4" w:space="0"/>
            </w:tcBorders>
            <w:noWrap w:val="0"/>
            <w:vAlign w:val="top"/>
          </w:tcPr>
          <w:p w14:paraId="7B2C407C">
            <w:pPr>
              <w:tabs>
                <w:tab w:val="left" w:pos="480"/>
              </w:tabs>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备注</w:t>
            </w:r>
          </w:p>
        </w:tc>
      </w:tr>
      <w:tr w14:paraId="20047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5FA2BC9E">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0FD65D6">
            <w:pPr>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15B68A68">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62F977B6">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647EE58">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23A60A9C">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279EBFB9">
            <w:pPr>
              <w:tabs>
                <w:tab w:val="left" w:pos="480"/>
              </w:tabs>
              <w:jc w:val="center"/>
              <w:rPr>
                <w:rFonts w:hint="eastAsia" w:ascii="仿宋_GB2312" w:hAnsi="仿宋_GB2312" w:eastAsia="仿宋_GB2312" w:cs="仿宋_GB2312"/>
                <w:color w:val="auto"/>
                <w:szCs w:val="21"/>
              </w:rPr>
            </w:pPr>
          </w:p>
        </w:tc>
      </w:tr>
      <w:tr w14:paraId="0B6E0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D76492A">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2</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679A54AB">
            <w:pPr>
              <w:spacing w:line="440" w:lineRule="exact"/>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5EC5E376">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111A69FC">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D98AD6B">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2F988C6">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2BA9FFCF">
            <w:pPr>
              <w:tabs>
                <w:tab w:val="left" w:pos="480"/>
              </w:tabs>
              <w:jc w:val="center"/>
              <w:rPr>
                <w:rFonts w:hint="eastAsia" w:ascii="仿宋_GB2312" w:hAnsi="仿宋_GB2312" w:eastAsia="仿宋_GB2312" w:cs="仿宋_GB2312"/>
                <w:color w:val="auto"/>
                <w:szCs w:val="21"/>
              </w:rPr>
            </w:pPr>
          </w:p>
        </w:tc>
      </w:tr>
      <w:tr w14:paraId="60630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05EA4A30">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3</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1BF42BC9">
            <w:pPr>
              <w:spacing w:line="440" w:lineRule="exact"/>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383DD28E">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4CF3C7A0">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E1AE348">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04B7961C">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752CB792">
            <w:pPr>
              <w:tabs>
                <w:tab w:val="left" w:pos="480"/>
              </w:tabs>
              <w:jc w:val="center"/>
              <w:rPr>
                <w:rFonts w:hint="eastAsia" w:ascii="仿宋_GB2312" w:hAnsi="仿宋_GB2312" w:eastAsia="仿宋_GB2312" w:cs="仿宋_GB2312"/>
                <w:color w:val="auto"/>
                <w:szCs w:val="21"/>
              </w:rPr>
            </w:pPr>
          </w:p>
        </w:tc>
      </w:tr>
      <w:tr w14:paraId="4A676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2EF578EB">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4</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173B67DC">
            <w:pPr>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4C607988">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220EFCE0">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A6CA6EE">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2D941EA3">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3207F5EC">
            <w:pPr>
              <w:tabs>
                <w:tab w:val="left" w:pos="480"/>
              </w:tabs>
              <w:jc w:val="center"/>
              <w:rPr>
                <w:rFonts w:hint="eastAsia" w:ascii="仿宋_GB2312" w:hAnsi="仿宋_GB2312" w:eastAsia="仿宋_GB2312" w:cs="仿宋_GB2312"/>
                <w:color w:val="auto"/>
                <w:szCs w:val="21"/>
              </w:rPr>
            </w:pPr>
          </w:p>
        </w:tc>
      </w:tr>
      <w:tr w14:paraId="55189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01A2C690">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5</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7526208">
            <w:pPr>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4BE9929E">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59C9F0AD">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35F9EBB">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250D210B">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536154E1">
            <w:pPr>
              <w:tabs>
                <w:tab w:val="left" w:pos="480"/>
              </w:tabs>
              <w:jc w:val="center"/>
              <w:rPr>
                <w:rFonts w:hint="eastAsia" w:ascii="仿宋_GB2312" w:hAnsi="仿宋_GB2312" w:eastAsia="仿宋_GB2312" w:cs="仿宋_GB2312"/>
                <w:color w:val="auto"/>
                <w:szCs w:val="21"/>
              </w:rPr>
            </w:pPr>
          </w:p>
        </w:tc>
      </w:tr>
      <w:tr w14:paraId="32291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2F8FFC71">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6</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725D5D6B">
            <w:pPr>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4AF5D58C">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16A27ECA">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E87B634">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818B47A">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499D940C">
            <w:pPr>
              <w:tabs>
                <w:tab w:val="left" w:pos="480"/>
              </w:tabs>
              <w:jc w:val="center"/>
              <w:rPr>
                <w:rFonts w:hint="eastAsia" w:ascii="仿宋_GB2312" w:hAnsi="仿宋_GB2312" w:eastAsia="仿宋_GB2312" w:cs="仿宋_GB2312"/>
                <w:color w:val="auto"/>
                <w:szCs w:val="21"/>
              </w:rPr>
            </w:pPr>
          </w:p>
        </w:tc>
      </w:tr>
      <w:tr w14:paraId="2FECF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A638CD9">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7</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322DA789">
            <w:pPr>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200A29FA">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2CD01C51">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AFCC734">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511E4D3D">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32FCDF03">
            <w:pPr>
              <w:tabs>
                <w:tab w:val="left" w:pos="480"/>
              </w:tabs>
              <w:jc w:val="center"/>
              <w:rPr>
                <w:rFonts w:hint="eastAsia" w:ascii="仿宋_GB2312" w:hAnsi="仿宋_GB2312" w:eastAsia="仿宋_GB2312" w:cs="仿宋_GB2312"/>
                <w:color w:val="auto"/>
                <w:szCs w:val="21"/>
              </w:rPr>
            </w:pPr>
          </w:p>
        </w:tc>
      </w:tr>
      <w:tr w14:paraId="783DF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0E771AA">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8</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32265984">
            <w:pPr>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477C5C28">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717F5C5B">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0AE6A8A">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6A53ACB2">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565E7E99">
            <w:pPr>
              <w:tabs>
                <w:tab w:val="left" w:pos="480"/>
              </w:tabs>
              <w:jc w:val="center"/>
              <w:rPr>
                <w:rFonts w:hint="eastAsia" w:ascii="仿宋_GB2312" w:hAnsi="仿宋_GB2312" w:eastAsia="仿宋_GB2312" w:cs="仿宋_GB2312"/>
                <w:color w:val="auto"/>
                <w:szCs w:val="21"/>
              </w:rPr>
            </w:pPr>
          </w:p>
        </w:tc>
      </w:tr>
      <w:tr w14:paraId="41F58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2386250">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9</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31220AD">
            <w:pPr>
              <w:spacing w:line="440" w:lineRule="exact"/>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11B5FB9D">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4FC1AFAB">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854E2FB">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38F94092">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48070CB6">
            <w:pPr>
              <w:tabs>
                <w:tab w:val="left" w:pos="480"/>
              </w:tabs>
              <w:jc w:val="center"/>
              <w:rPr>
                <w:rFonts w:hint="eastAsia" w:ascii="仿宋_GB2312" w:hAnsi="仿宋_GB2312" w:eastAsia="仿宋_GB2312" w:cs="仿宋_GB2312"/>
                <w:color w:val="auto"/>
                <w:szCs w:val="21"/>
              </w:rPr>
            </w:pPr>
          </w:p>
        </w:tc>
      </w:tr>
      <w:tr w14:paraId="3F2E1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B01005F">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10</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1FA6C85B">
            <w:pPr>
              <w:spacing w:line="440" w:lineRule="exact"/>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38F1BE87">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5838C1DF">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31517BC">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48BA703E">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4AB34576">
            <w:pPr>
              <w:tabs>
                <w:tab w:val="left" w:pos="480"/>
              </w:tabs>
              <w:jc w:val="center"/>
              <w:rPr>
                <w:rFonts w:hint="eastAsia" w:ascii="仿宋_GB2312" w:hAnsi="仿宋_GB2312" w:eastAsia="仿宋_GB2312" w:cs="仿宋_GB2312"/>
                <w:color w:val="auto"/>
                <w:szCs w:val="21"/>
              </w:rPr>
            </w:pPr>
          </w:p>
        </w:tc>
      </w:tr>
      <w:tr w14:paraId="57EBA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2AF7C491">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11</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30E12932">
            <w:pPr>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417A99D8">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0CEEB19D">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16FBF974">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ED0585A">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7ACF9B57">
            <w:pPr>
              <w:tabs>
                <w:tab w:val="left" w:pos="480"/>
              </w:tabs>
              <w:jc w:val="center"/>
              <w:rPr>
                <w:rFonts w:hint="eastAsia" w:ascii="仿宋_GB2312" w:hAnsi="仿宋_GB2312" w:eastAsia="仿宋_GB2312" w:cs="仿宋_GB2312"/>
                <w:color w:val="auto"/>
                <w:szCs w:val="21"/>
              </w:rPr>
            </w:pPr>
          </w:p>
        </w:tc>
      </w:tr>
      <w:tr w14:paraId="398AE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98F9CC1">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12</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7FA6027">
            <w:pPr>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7E4C3C16">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6B5C436C">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E1159B1">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F814670">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619B26EA">
            <w:pPr>
              <w:tabs>
                <w:tab w:val="left" w:pos="480"/>
              </w:tabs>
              <w:jc w:val="center"/>
              <w:rPr>
                <w:rFonts w:hint="eastAsia" w:ascii="仿宋_GB2312" w:hAnsi="仿宋_GB2312" w:eastAsia="仿宋_GB2312" w:cs="仿宋_GB2312"/>
                <w:color w:val="auto"/>
                <w:szCs w:val="21"/>
              </w:rPr>
            </w:pPr>
          </w:p>
        </w:tc>
      </w:tr>
      <w:tr w14:paraId="2CDF5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852CB7B">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13</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35DD6DB7">
            <w:pPr>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11503899">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3C12B8AC">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E9A5A09">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5C6F008">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594C8A74">
            <w:pPr>
              <w:tabs>
                <w:tab w:val="left" w:pos="480"/>
              </w:tabs>
              <w:jc w:val="center"/>
              <w:rPr>
                <w:rFonts w:hint="eastAsia" w:ascii="仿宋_GB2312" w:hAnsi="仿宋_GB2312" w:eastAsia="仿宋_GB2312" w:cs="仿宋_GB2312"/>
                <w:color w:val="auto"/>
                <w:szCs w:val="21"/>
              </w:rPr>
            </w:pPr>
          </w:p>
        </w:tc>
      </w:tr>
      <w:tr w14:paraId="79B12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03CC9E9">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14</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6832950">
            <w:pPr>
              <w:spacing w:line="440" w:lineRule="exact"/>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3B0673DE">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5E6413AE">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1F36773">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2E17B02A">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645B88F3">
            <w:pPr>
              <w:tabs>
                <w:tab w:val="left" w:pos="480"/>
              </w:tabs>
              <w:jc w:val="center"/>
              <w:rPr>
                <w:rFonts w:hint="eastAsia" w:ascii="仿宋_GB2312" w:hAnsi="仿宋_GB2312" w:eastAsia="仿宋_GB2312" w:cs="仿宋_GB2312"/>
                <w:color w:val="auto"/>
                <w:szCs w:val="21"/>
              </w:rPr>
            </w:pPr>
          </w:p>
        </w:tc>
      </w:tr>
      <w:tr w14:paraId="08962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2E4FA277">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15</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E3B8406">
            <w:pPr>
              <w:spacing w:line="440" w:lineRule="exact"/>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7473C74F">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7867C873">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8B6A799">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338D4E86">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5A6E4A06">
            <w:pPr>
              <w:tabs>
                <w:tab w:val="left" w:pos="480"/>
              </w:tabs>
              <w:jc w:val="center"/>
              <w:rPr>
                <w:rFonts w:hint="eastAsia" w:ascii="仿宋_GB2312" w:hAnsi="仿宋_GB2312" w:eastAsia="仿宋_GB2312" w:cs="仿宋_GB2312"/>
                <w:color w:val="auto"/>
                <w:szCs w:val="21"/>
              </w:rPr>
            </w:pPr>
          </w:p>
        </w:tc>
      </w:tr>
      <w:tr w14:paraId="6ED4F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34AFD5E">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16</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12C99137">
            <w:pPr>
              <w:spacing w:line="440" w:lineRule="exact"/>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5A626413">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403E4F18">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7EE4F87">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2EC204B8">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212AB90D">
            <w:pPr>
              <w:tabs>
                <w:tab w:val="left" w:pos="480"/>
              </w:tabs>
              <w:jc w:val="center"/>
              <w:rPr>
                <w:rFonts w:hint="eastAsia" w:ascii="仿宋_GB2312" w:hAnsi="仿宋_GB2312" w:eastAsia="仿宋_GB2312" w:cs="仿宋_GB2312"/>
                <w:color w:val="auto"/>
                <w:szCs w:val="21"/>
              </w:rPr>
            </w:pPr>
          </w:p>
        </w:tc>
      </w:tr>
      <w:tr w14:paraId="14B01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9CA490B">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17</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474D977">
            <w:pPr>
              <w:spacing w:line="440" w:lineRule="exact"/>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533E1C36">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164C9F30">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9897813">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4865DCC1">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37F2958D">
            <w:pPr>
              <w:tabs>
                <w:tab w:val="left" w:pos="480"/>
              </w:tabs>
              <w:jc w:val="center"/>
              <w:rPr>
                <w:rFonts w:hint="eastAsia" w:ascii="仿宋_GB2312" w:hAnsi="仿宋_GB2312" w:eastAsia="仿宋_GB2312" w:cs="仿宋_GB2312"/>
                <w:color w:val="auto"/>
                <w:szCs w:val="21"/>
              </w:rPr>
            </w:pPr>
          </w:p>
        </w:tc>
      </w:tr>
      <w:tr w14:paraId="00031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497D8BFD">
            <w:pPr>
              <w:spacing w:line="440" w:lineRule="exact"/>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rPr>
              <w:t>18</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7FA12FFB">
            <w:pPr>
              <w:jc w:val="center"/>
              <w:rPr>
                <w:rFonts w:hint="eastAsia" w:ascii="仿宋_GB2312" w:hAnsi="仿宋_GB2312" w:eastAsia="仿宋_GB2312" w:cs="仿宋_GB2312"/>
                <w:color w:val="auto"/>
                <w:szCs w:val="21"/>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06A339F9">
            <w:pPr>
              <w:jc w:val="center"/>
              <w:rPr>
                <w:rFonts w:hint="eastAsia" w:ascii="仿宋_GB2312" w:hAnsi="仿宋_GB2312" w:eastAsia="仿宋_GB2312" w:cs="仿宋_GB2312"/>
                <w:color w:val="auto"/>
                <w:szCs w:val="21"/>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17F5D2C1">
            <w:pPr>
              <w:spacing w:line="440" w:lineRule="exact"/>
              <w:jc w:val="center"/>
              <w:rPr>
                <w:rFonts w:hint="eastAsia" w:ascii="仿宋_GB2312" w:hAnsi="仿宋_GB2312" w:eastAsia="仿宋_GB2312" w:cs="仿宋_GB2312"/>
                <w:color w:val="auto"/>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17B10FB8">
            <w:pPr>
              <w:spacing w:line="440" w:lineRule="exact"/>
              <w:jc w:val="center"/>
              <w:rPr>
                <w:rFonts w:hint="eastAsia" w:ascii="仿宋_GB2312" w:hAnsi="仿宋_GB2312" w:eastAsia="仿宋_GB2312" w:cs="仿宋_GB2312"/>
                <w:color w:val="auto"/>
                <w:szCs w:val="21"/>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4EDE6F25">
            <w:pPr>
              <w:tabs>
                <w:tab w:val="left" w:pos="480"/>
              </w:tabs>
              <w:jc w:val="center"/>
              <w:rPr>
                <w:rFonts w:hint="eastAsia" w:ascii="仿宋_GB2312" w:hAnsi="仿宋_GB2312" w:eastAsia="仿宋_GB2312" w:cs="仿宋_GB2312"/>
                <w:color w:val="auto"/>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13B18B1D">
            <w:pPr>
              <w:tabs>
                <w:tab w:val="left" w:pos="480"/>
              </w:tabs>
              <w:jc w:val="center"/>
              <w:rPr>
                <w:rFonts w:hint="eastAsia" w:ascii="仿宋_GB2312" w:hAnsi="仿宋_GB2312" w:eastAsia="仿宋_GB2312" w:cs="仿宋_GB2312"/>
                <w:color w:val="auto"/>
                <w:szCs w:val="21"/>
              </w:rPr>
            </w:pPr>
          </w:p>
        </w:tc>
      </w:tr>
    </w:tbl>
    <w:p w14:paraId="71FFEA91">
      <w:pPr>
        <w:tabs>
          <w:tab w:val="left" w:pos="3710"/>
        </w:tabs>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注：每个项目填一份附件清单，附件清单内容在标配基础上参照标书内各项目配置要求填写。</w:t>
      </w:r>
    </w:p>
    <w:p w14:paraId="5F9D4D9A">
      <w:pPr>
        <w:tabs>
          <w:tab w:val="left" w:pos="675"/>
        </w:tabs>
        <w:jc w:val="center"/>
        <w:rPr>
          <w:rFonts w:hint="eastAsia" w:ascii="仿宋_GB2312" w:hAnsi="仿宋_GB2312" w:eastAsia="仿宋_GB2312" w:cs="仿宋_GB2312"/>
          <w:b/>
          <w:color w:val="auto"/>
          <w:sz w:val="32"/>
          <w:szCs w:val="32"/>
          <w:u w:val="single"/>
        </w:rPr>
      </w:pPr>
    </w:p>
    <w:p w14:paraId="31B93A83">
      <w:pPr>
        <w:tabs>
          <w:tab w:val="left" w:pos="675"/>
        </w:tabs>
        <w:jc w:val="center"/>
        <w:rPr>
          <w:rFonts w:hint="eastAsia" w:ascii="仿宋_GB2312" w:hAnsi="仿宋_GB2312" w:eastAsia="仿宋_GB2312" w:cs="仿宋_GB2312"/>
          <w:b/>
          <w:color w:val="auto"/>
          <w:sz w:val="32"/>
          <w:szCs w:val="32"/>
          <w:u w:val="single"/>
        </w:rPr>
      </w:pPr>
    </w:p>
    <w:p w14:paraId="6877F02A">
      <w:pPr>
        <w:tabs>
          <w:tab w:val="left" w:pos="675"/>
        </w:tabs>
        <w:jc w:val="center"/>
        <w:rPr>
          <w:rFonts w:hint="eastAsia" w:ascii="仿宋_GB2312" w:hAnsi="仿宋_GB2312" w:eastAsia="仿宋_GB2312" w:cs="仿宋_GB2312"/>
          <w:b/>
          <w:color w:val="auto"/>
          <w:sz w:val="32"/>
          <w:szCs w:val="32"/>
          <w:u w:val="single"/>
        </w:rPr>
      </w:pPr>
    </w:p>
    <w:p w14:paraId="2B8D45E0">
      <w:pPr>
        <w:tabs>
          <w:tab w:val="left" w:pos="675"/>
        </w:tabs>
        <w:jc w:val="left"/>
        <w:rPr>
          <w:rFonts w:hint="eastAsia" w:ascii="仿宋_GB2312" w:hAnsi="仿宋_GB2312" w:eastAsia="仿宋_GB2312" w:cs="仿宋_GB2312"/>
          <w:b/>
          <w:color w:val="auto"/>
          <w:sz w:val="32"/>
          <w:szCs w:val="32"/>
          <w:u w:val="single"/>
        </w:rPr>
      </w:pPr>
      <w:r>
        <w:rPr>
          <w:rFonts w:hint="eastAsia" w:ascii="仿宋_GB2312" w:hAnsi="仿宋_GB2312" w:eastAsia="仿宋_GB2312" w:cs="仿宋_GB2312"/>
          <w:b/>
          <w:color w:val="auto"/>
          <w:sz w:val="32"/>
          <w:szCs w:val="32"/>
        </w:rPr>
        <w:t>附件2：</w:t>
      </w:r>
    </w:p>
    <w:p w14:paraId="2737C879">
      <w:pPr>
        <w:tabs>
          <w:tab w:val="left" w:pos="675"/>
        </w:tabs>
        <w:jc w:val="center"/>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u w:val="single"/>
        </w:rPr>
        <w:t>品目</w:t>
      </w:r>
      <w:r>
        <w:rPr>
          <w:rFonts w:hint="eastAsia" w:ascii="仿宋_GB2312" w:hAnsi="仿宋_GB2312" w:eastAsia="仿宋_GB2312" w:cs="仿宋_GB2312"/>
          <w:b/>
          <w:color w:val="auto"/>
          <w:sz w:val="32"/>
          <w:szCs w:val="32"/>
        </w:rPr>
        <w:t>耗材报价表</w:t>
      </w:r>
    </w:p>
    <w:p w14:paraId="26E91CB2">
      <w:pPr>
        <w:tabs>
          <w:tab w:val="left" w:pos="675"/>
        </w:tabs>
        <w:jc w:val="center"/>
        <w:rPr>
          <w:rFonts w:hint="eastAsia" w:ascii="仿宋_GB2312" w:hAnsi="仿宋_GB2312" w:eastAsia="仿宋_GB2312" w:cs="仿宋_GB2312"/>
          <w:b/>
          <w:color w:val="auto"/>
          <w:sz w:val="32"/>
          <w:szCs w:val="32"/>
        </w:rPr>
      </w:pPr>
    </w:p>
    <w:tbl>
      <w:tblPr>
        <w:tblStyle w:val="7"/>
        <w:tblW w:w="92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182"/>
        <w:gridCol w:w="2635"/>
        <w:gridCol w:w="2099"/>
        <w:gridCol w:w="1217"/>
        <w:gridCol w:w="1434"/>
      </w:tblGrid>
      <w:tr w14:paraId="62112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2F5923B1">
            <w:pPr>
              <w:spacing w:line="400" w:lineRule="atLeast"/>
              <w:ind w:left="-4664" w:leftChars="-2221" w:right="-3" w:firstLine="4665" w:firstLineChars="1944"/>
              <w:jc w:val="center"/>
              <w:rPr>
                <w:rFonts w:ascii="宋体" w:hAnsi="宋体"/>
                <w:color w:val="auto"/>
                <w:sz w:val="24"/>
              </w:rPr>
            </w:pPr>
            <w:r>
              <w:rPr>
                <w:rFonts w:hint="eastAsia" w:ascii="宋体" w:hAnsi="宋体" w:cs="宋体"/>
                <w:color w:val="auto"/>
                <w:sz w:val="24"/>
              </w:rPr>
              <w:t>序号</w:t>
            </w:r>
          </w:p>
        </w:tc>
        <w:tc>
          <w:tcPr>
            <w:tcW w:w="1182" w:type="dxa"/>
            <w:noWrap w:val="0"/>
            <w:vAlign w:val="center"/>
          </w:tcPr>
          <w:p w14:paraId="52FAB8DF">
            <w:pPr>
              <w:spacing w:line="400" w:lineRule="atLeast"/>
              <w:ind w:left="-4664" w:leftChars="-2221" w:right="17" w:firstLine="4665" w:firstLineChars="1944"/>
              <w:jc w:val="center"/>
              <w:rPr>
                <w:rFonts w:hint="eastAsia" w:ascii="宋体" w:hAnsi="宋体"/>
                <w:color w:val="auto"/>
                <w:sz w:val="24"/>
              </w:rPr>
            </w:pPr>
          </w:p>
          <w:p w14:paraId="0E57EA19">
            <w:pPr>
              <w:spacing w:line="400" w:lineRule="atLeast"/>
              <w:ind w:left="-4664" w:leftChars="-2221" w:right="17" w:firstLine="4665" w:firstLineChars="1944"/>
              <w:jc w:val="center"/>
              <w:rPr>
                <w:rFonts w:hint="eastAsia" w:ascii="宋体" w:hAnsi="宋体"/>
                <w:color w:val="auto"/>
                <w:sz w:val="24"/>
              </w:rPr>
            </w:pPr>
            <w:r>
              <w:rPr>
                <w:rFonts w:hint="eastAsia" w:ascii="宋体" w:hAnsi="宋体"/>
                <w:color w:val="auto"/>
                <w:sz w:val="24"/>
              </w:rPr>
              <w:t>耗材名称</w:t>
            </w:r>
          </w:p>
        </w:tc>
        <w:tc>
          <w:tcPr>
            <w:tcW w:w="2635" w:type="dxa"/>
            <w:noWrap w:val="0"/>
            <w:vAlign w:val="center"/>
          </w:tcPr>
          <w:p w14:paraId="24CAD9AC">
            <w:pPr>
              <w:spacing w:line="400" w:lineRule="atLeast"/>
              <w:ind w:left="-4664" w:leftChars="-2221" w:right="17" w:firstLine="4665" w:firstLineChars="1944"/>
              <w:jc w:val="center"/>
              <w:rPr>
                <w:rFonts w:hint="eastAsia" w:ascii="宋体" w:hAnsi="宋体"/>
                <w:color w:val="auto"/>
                <w:sz w:val="24"/>
              </w:rPr>
            </w:pPr>
            <w:r>
              <w:rPr>
                <w:rFonts w:hint="eastAsia" w:ascii="宋体" w:hAnsi="宋体"/>
                <w:color w:val="auto"/>
                <w:sz w:val="24"/>
              </w:rPr>
              <w:t>产品及包装规格</w:t>
            </w:r>
          </w:p>
        </w:tc>
        <w:tc>
          <w:tcPr>
            <w:tcW w:w="2099" w:type="dxa"/>
            <w:noWrap w:val="0"/>
            <w:vAlign w:val="center"/>
          </w:tcPr>
          <w:p w14:paraId="6868999D">
            <w:pPr>
              <w:spacing w:line="400" w:lineRule="atLeast"/>
              <w:ind w:left="-4664" w:leftChars="-2221" w:right="17" w:firstLine="4665" w:firstLineChars="1944"/>
              <w:jc w:val="center"/>
              <w:rPr>
                <w:rFonts w:ascii="宋体" w:hAnsi="宋体"/>
                <w:color w:val="auto"/>
                <w:sz w:val="24"/>
              </w:rPr>
            </w:pPr>
            <w:r>
              <w:rPr>
                <w:rFonts w:hint="eastAsia" w:ascii="宋体" w:hAnsi="宋体" w:cs="宋体"/>
                <w:color w:val="auto"/>
                <w:sz w:val="24"/>
              </w:rPr>
              <w:t>报价</w:t>
            </w:r>
          </w:p>
        </w:tc>
        <w:tc>
          <w:tcPr>
            <w:tcW w:w="1217" w:type="dxa"/>
            <w:noWrap w:val="0"/>
            <w:vAlign w:val="center"/>
          </w:tcPr>
          <w:p w14:paraId="09E98DA8">
            <w:pPr>
              <w:spacing w:line="400" w:lineRule="atLeast"/>
              <w:ind w:left="-4664" w:leftChars="-2221" w:right="17" w:firstLine="4665" w:firstLineChars="1944"/>
              <w:jc w:val="center"/>
              <w:rPr>
                <w:rFonts w:hint="eastAsia" w:ascii="宋体" w:hAnsi="宋体" w:cs="宋体"/>
                <w:color w:val="auto"/>
                <w:sz w:val="24"/>
              </w:rPr>
            </w:pPr>
            <w:r>
              <w:rPr>
                <w:rFonts w:hint="eastAsia" w:ascii="宋体" w:hAnsi="宋体" w:cs="宋体"/>
                <w:color w:val="auto"/>
                <w:sz w:val="24"/>
              </w:rPr>
              <w:t>制造厂商</w:t>
            </w:r>
          </w:p>
        </w:tc>
        <w:tc>
          <w:tcPr>
            <w:tcW w:w="1434" w:type="dxa"/>
            <w:noWrap w:val="0"/>
            <w:vAlign w:val="center"/>
          </w:tcPr>
          <w:p w14:paraId="0EF95866">
            <w:pPr>
              <w:spacing w:line="400" w:lineRule="atLeast"/>
              <w:ind w:left="-4664" w:leftChars="-2221" w:right="17" w:firstLine="4665" w:firstLineChars="1944"/>
              <w:jc w:val="center"/>
              <w:rPr>
                <w:rFonts w:ascii="宋体" w:hAnsi="宋体"/>
                <w:color w:val="auto"/>
                <w:sz w:val="24"/>
              </w:rPr>
            </w:pPr>
            <w:r>
              <w:rPr>
                <w:rFonts w:hint="eastAsia" w:ascii="宋体" w:hAnsi="宋体" w:cs="宋体"/>
                <w:color w:val="auto"/>
                <w:sz w:val="24"/>
              </w:rPr>
              <w:t>备注</w:t>
            </w:r>
          </w:p>
        </w:tc>
      </w:tr>
      <w:tr w14:paraId="436BE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08DF96CA">
            <w:pPr>
              <w:spacing w:line="400" w:lineRule="atLeast"/>
              <w:ind w:left="-4664" w:leftChars="-2221" w:right="-3" w:firstLine="4665" w:firstLineChars="1944"/>
              <w:jc w:val="center"/>
              <w:rPr>
                <w:rFonts w:hint="eastAsia" w:ascii="宋体" w:hAnsi="宋体" w:cs="宋体"/>
                <w:color w:val="auto"/>
                <w:sz w:val="24"/>
              </w:rPr>
            </w:pPr>
            <w:r>
              <w:rPr>
                <w:rFonts w:hint="eastAsia" w:ascii="宋体" w:hAnsi="宋体" w:cs="宋体"/>
                <w:color w:val="auto"/>
                <w:sz w:val="24"/>
              </w:rPr>
              <w:t>1</w:t>
            </w:r>
          </w:p>
        </w:tc>
        <w:tc>
          <w:tcPr>
            <w:tcW w:w="1182" w:type="dxa"/>
            <w:noWrap w:val="0"/>
            <w:vAlign w:val="center"/>
          </w:tcPr>
          <w:p w14:paraId="1B5D7CE8">
            <w:pPr>
              <w:spacing w:line="400" w:lineRule="atLeast"/>
              <w:ind w:left="-4664" w:leftChars="-2221" w:right="17" w:firstLine="4665" w:firstLineChars="1944"/>
              <w:jc w:val="center"/>
              <w:rPr>
                <w:rFonts w:hint="eastAsia" w:ascii="宋体" w:hAnsi="宋体" w:cs="宋体"/>
                <w:color w:val="auto"/>
                <w:sz w:val="24"/>
              </w:rPr>
            </w:pPr>
          </w:p>
        </w:tc>
        <w:tc>
          <w:tcPr>
            <w:tcW w:w="2635" w:type="dxa"/>
            <w:noWrap w:val="0"/>
            <w:vAlign w:val="center"/>
          </w:tcPr>
          <w:p w14:paraId="377CBD93">
            <w:pPr>
              <w:spacing w:line="400" w:lineRule="atLeast"/>
              <w:ind w:left="-4664" w:leftChars="-2221" w:right="17" w:firstLine="4665" w:firstLineChars="1944"/>
              <w:jc w:val="center"/>
              <w:rPr>
                <w:rFonts w:hint="eastAsia" w:ascii="宋体" w:hAnsi="宋体" w:cs="宋体"/>
                <w:color w:val="auto"/>
                <w:sz w:val="24"/>
              </w:rPr>
            </w:pPr>
          </w:p>
        </w:tc>
        <w:tc>
          <w:tcPr>
            <w:tcW w:w="2099" w:type="dxa"/>
            <w:noWrap w:val="0"/>
            <w:vAlign w:val="center"/>
          </w:tcPr>
          <w:p w14:paraId="3B5350B2">
            <w:pPr>
              <w:spacing w:line="400" w:lineRule="atLeast"/>
              <w:ind w:left="-4664" w:leftChars="-2221" w:right="17" w:firstLine="4665" w:firstLineChars="1944"/>
              <w:jc w:val="center"/>
              <w:rPr>
                <w:rFonts w:ascii="宋体" w:hAnsi="宋体" w:cs="宋体"/>
                <w:color w:val="auto"/>
                <w:sz w:val="24"/>
              </w:rPr>
            </w:pPr>
          </w:p>
        </w:tc>
        <w:tc>
          <w:tcPr>
            <w:tcW w:w="1217" w:type="dxa"/>
            <w:noWrap w:val="0"/>
            <w:vAlign w:val="center"/>
          </w:tcPr>
          <w:p w14:paraId="75C0B18B">
            <w:pPr>
              <w:spacing w:line="400" w:lineRule="atLeast"/>
              <w:ind w:left="-4664" w:leftChars="-2221" w:right="17" w:firstLine="4665" w:firstLineChars="1944"/>
              <w:jc w:val="center"/>
              <w:rPr>
                <w:rFonts w:hint="eastAsia" w:ascii="宋体" w:hAnsi="宋体" w:cs="宋体"/>
                <w:color w:val="auto"/>
                <w:sz w:val="24"/>
              </w:rPr>
            </w:pPr>
          </w:p>
        </w:tc>
        <w:tc>
          <w:tcPr>
            <w:tcW w:w="1434" w:type="dxa"/>
            <w:noWrap w:val="0"/>
            <w:vAlign w:val="center"/>
          </w:tcPr>
          <w:p w14:paraId="54C489C0">
            <w:pPr>
              <w:spacing w:line="400" w:lineRule="atLeast"/>
              <w:ind w:left="-4664" w:leftChars="-2221" w:right="17" w:firstLine="4665" w:firstLineChars="1944"/>
              <w:jc w:val="center"/>
              <w:rPr>
                <w:rFonts w:hint="eastAsia" w:ascii="宋体" w:hAnsi="宋体" w:cs="宋体"/>
                <w:color w:val="auto"/>
                <w:sz w:val="24"/>
              </w:rPr>
            </w:pPr>
          </w:p>
        </w:tc>
      </w:tr>
      <w:tr w14:paraId="735E9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0038F4D9">
            <w:pPr>
              <w:spacing w:line="400" w:lineRule="atLeast"/>
              <w:ind w:left="-4664" w:leftChars="-2221" w:right="-3" w:firstLine="4665" w:firstLineChars="1944"/>
              <w:jc w:val="center"/>
              <w:rPr>
                <w:rFonts w:hint="eastAsia" w:ascii="宋体" w:hAnsi="宋体" w:cs="宋体"/>
                <w:color w:val="auto"/>
                <w:sz w:val="24"/>
              </w:rPr>
            </w:pPr>
          </w:p>
        </w:tc>
        <w:tc>
          <w:tcPr>
            <w:tcW w:w="1182" w:type="dxa"/>
            <w:noWrap w:val="0"/>
            <w:vAlign w:val="center"/>
          </w:tcPr>
          <w:p w14:paraId="60531F5F">
            <w:pPr>
              <w:spacing w:line="400" w:lineRule="atLeast"/>
              <w:ind w:left="-4664" w:leftChars="-2221" w:right="17" w:firstLine="4665" w:firstLineChars="1944"/>
              <w:jc w:val="center"/>
              <w:rPr>
                <w:rFonts w:hint="eastAsia" w:ascii="宋体" w:hAnsi="宋体" w:cs="宋体"/>
                <w:color w:val="auto"/>
                <w:sz w:val="24"/>
              </w:rPr>
            </w:pPr>
          </w:p>
        </w:tc>
        <w:tc>
          <w:tcPr>
            <w:tcW w:w="2635" w:type="dxa"/>
            <w:noWrap w:val="0"/>
            <w:vAlign w:val="center"/>
          </w:tcPr>
          <w:p w14:paraId="39A8B5AE">
            <w:pPr>
              <w:spacing w:line="400" w:lineRule="atLeast"/>
              <w:ind w:left="-4664" w:leftChars="-2221" w:right="17" w:firstLine="4665" w:firstLineChars="1944"/>
              <w:jc w:val="center"/>
              <w:rPr>
                <w:rFonts w:hint="eastAsia" w:ascii="宋体" w:hAnsi="宋体" w:cs="宋体"/>
                <w:color w:val="auto"/>
                <w:sz w:val="24"/>
              </w:rPr>
            </w:pPr>
          </w:p>
        </w:tc>
        <w:tc>
          <w:tcPr>
            <w:tcW w:w="2099" w:type="dxa"/>
            <w:noWrap w:val="0"/>
            <w:vAlign w:val="center"/>
          </w:tcPr>
          <w:p w14:paraId="6F1F50AB">
            <w:pPr>
              <w:spacing w:line="400" w:lineRule="atLeast"/>
              <w:ind w:left="-4664" w:leftChars="-2221" w:right="17" w:firstLine="4665" w:firstLineChars="1944"/>
              <w:jc w:val="center"/>
              <w:rPr>
                <w:rFonts w:hint="eastAsia" w:ascii="宋体" w:hAnsi="宋体" w:cs="宋体"/>
                <w:color w:val="auto"/>
                <w:sz w:val="24"/>
              </w:rPr>
            </w:pPr>
          </w:p>
        </w:tc>
        <w:tc>
          <w:tcPr>
            <w:tcW w:w="1217" w:type="dxa"/>
            <w:noWrap w:val="0"/>
            <w:vAlign w:val="center"/>
          </w:tcPr>
          <w:p w14:paraId="272C5A97">
            <w:pPr>
              <w:spacing w:line="400" w:lineRule="atLeast"/>
              <w:ind w:left="-4664" w:leftChars="-2221" w:right="17" w:firstLine="4665" w:firstLineChars="1944"/>
              <w:jc w:val="center"/>
              <w:rPr>
                <w:rFonts w:hint="eastAsia" w:ascii="宋体" w:hAnsi="宋体" w:cs="宋体"/>
                <w:color w:val="auto"/>
                <w:sz w:val="24"/>
              </w:rPr>
            </w:pPr>
          </w:p>
        </w:tc>
        <w:tc>
          <w:tcPr>
            <w:tcW w:w="1434" w:type="dxa"/>
            <w:noWrap w:val="0"/>
            <w:vAlign w:val="center"/>
          </w:tcPr>
          <w:p w14:paraId="5AAB8057">
            <w:pPr>
              <w:spacing w:line="400" w:lineRule="atLeast"/>
              <w:ind w:left="-4664" w:leftChars="-2221" w:right="17" w:firstLine="4665" w:firstLineChars="1944"/>
              <w:jc w:val="center"/>
              <w:rPr>
                <w:rFonts w:hint="eastAsia" w:ascii="宋体" w:hAnsi="宋体" w:cs="宋体"/>
                <w:color w:val="auto"/>
                <w:sz w:val="24"/>
              </w:rPr>
            </w:pPr>
          </w:p>
        </w:tc>
      </w:tr>
      <w:tr w14:paraId="094FA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4E02626D">
            <w:pPr>
              <w:spacing w:line="400" w:lineRule="atLeast"/>
              <w:ind w:left="-4664" w:leftChars="-2221" w:right="-3" w:firstLine="4665" w:firstLineChars="1944"/>
              <w:jc w:val="center"/>
              <w:rPr>
                <w:rFonts w:hint="eastAsia" w:ascii="宋体" w:hAnsi="宋体" w:cs="宋体"/>
                <w:color w:val="auto"/>
                <w:sz w:val="24"/>
              </w:rPr>
            </w:pPr>
          </w:p>
        </w:tc>
        <w:tc>
          <w:tcPr>
            <w:tcW w:w="1182" w:type="dxa"/>
            <w:noWrap w:val="0"/>
            <w:vAlign w:val="center"/>
          </w:tcPr>
          <w:p w14:paraId="543282E7">
            <w:pPr>
              <w:spacing w:line="400" w:lineRule="atLeast"/>
              <w:ind w:left="-4664" w:leftChars="-2221" w:right="17" w:firstLine="4665" w:firstLineChars="1944"/>
              <w:jc w:val="center"/>
              <w:rPr>
                <w:rFonts w:hint="eastAsia" w:ascii="宋体" w:hAnsi="宋体" w:cs="宋体"/>
                <w:color w:val="auto"/>
                <w:sz w:val="24"/>
              </w:rPr>
            </w:pPr>
          </w:p>
        </w:tc>
        <w:tc>
          <w:tcPr>
            <w:tcW w:w="2635" w:type="dxa"/>
            <w:noWrap w:val="0"/>
            <w:vAlign w:val="center"/>
          </w:tcPr>
          <w:p w14:paraId="1B8CD6E7">
            <w:pPr>
              <w:spacing w:line="400" w:lineRule="atLeast"/>
              <w:ind w:left="-4664" w:leftChars="-2221" w:right="17" w:firstLine="4665" w:firstLineChars="1944"/>
              <w:jc w:val="center"/>
              <w:rPr>
                <w:rFonts w:hint="eastAsia" w:ascii="宋体" w:hAnsi="宋体" w:cs="宋体"/>
                <w:color w:val="auto"/>
                <w:sz w:val="24"/>
              </w:rPr>
            </w:pPr>
          </w:p>
        </w:tc>
        <w:tc>
          <w:tcPr>
            <w:tcW w:w="2099" w:type="dxa"/>
            <w:noWrap w:val="0"/>
            <w:vAlign w:val="center"/>
          </w:tcPr>
          <w:p w14:paraId="15DD5D2A">
            <w:pPr>
              <w:spacing w:line="400" w:lineRule="atLeast"/>
              <w:ind w:left="-4664" w:leftChars="-2221" w:right="17" w:firstLine="4665" w:firstLineChars="1944"/>
              <w:jc w:val="center"/>
              <w:rPr>
                <w:rFonts w:hint="eastAsia" w:ascii="宋体" w:hAnsi="宋体" w:cs="宋体"/>
                <w:color w:val="auto"/>
                <w:sz w:val="24"/>
              </w:rPr>
            </w:pPr>
          </w:p>
        </w:tc>
        <w:tc>
          <w:tcPr>
            <w:tcW w:w="1217" w:type="dxa"/>
            <w:noWrap w:val="0"/>
            <w:vAlign w:val="center"/>
          </w:tcPr>
          <w:p w14:paraId="130468DA">
            <w:pPr>
              <w:spacing w:line="400" w:lineRule="atLeast"/>
              <w:ind w:left="-4664" w:leftChars="-2221" w:right="17" w:firstLine="4665" w:firstLineChars="1944"/>
              <w:jc w:val="center"/>
              <w:rPr>
                <w:rFonts w:hint="eastAsia" w:ascii="宋体" w:hAnsi="宋体" w:cs="宋体"/>
                <w:color w:val="auto"/>
                <w:sz w:val="24"/>
              </w:rPr>
            </w:pPr>
          </w:p>
        </w:tc>
        <w:tc>
          <w:tcPr>
            <w:tcW w:w="1434" w:type="dxa"/>
            <w:noWrap w:val="0"/>
            <w:vAlign w:val="center"/>
          </w:tcPr>
          <w:p w14:paraId="33A829B2">
            <w:pPr>
              <w:spacing w:line="400" w:lineRule="atLeast"/>
              <w:ind w:left="-4664" w:leftChars="-2221" w:right="17" w:firstLine="4665" w:firstLineChars="1944"/>
              <w:jc w:val="center"/>
              <w:rPr>
                <w:rFonts w:hint="eastAsia" w:ascii="宋体" w:hAnsi="宋体" w:cs="宋体"/>
                <w:color w:val="auto"/>
                <w:sz w:val="24"/>
              </w:rPr>
            </w:pPr>
          </w:p>
        </w:tc>
      </w:tr>
      <w:tr w14:paraId="1F7EA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57D34D3A">
            <w:pPr>
              <w:spacing w:line="400" w:lineRule="atLeast"/>
              <w:ind w:left="-4664" w:leftChars="-2221" w:right="-3" w:firstLine="4665" w:firstLineChars="1944"/>
              <w:jc w:val="center"/>
              <w:rPr>
                <w:rFonts w:hint="eastAsia" w:ascii="宋体" w:hAnsi="宋体" w:cs="宋体"/>
                <w:color w:val="auto"/>
                <w:sz w:val="24"/>
              </w:rPr>
            </w:pPr>
          </w:p>
        </w:tc>
        <w:tc>
          <w:tcPr>
            <w:tcW w:w="1182" w:type="dxa"/>
            <w:noWrap w:val="0"/>
            <w:vAlign w:val="center"/>
          </w:tcPr>
          <w:p w14:paraId="6B55D738">
            <w:pPr>
              <w:spacing w:line="400" w:lineRule="atLeast"/>
              <w:ind w:left="-4664" w:leftChars="-2221" w:right="17" w:firstLine="4665" w:firstLineChars="1944"/>
              <w:jc w:val="center"/>
              <w:rPr>
                <w:rFonts w:hint="eastAsia" w:ascii="宋体" w:hAnsi="宋体" w:cs="宋体"/>
                <w:color w:val="auto"/>
                <w:sz w:val="24"/>
              </w:rPr>
            </w:pPr>
          </w:p>
        </w:tc>
        <w:tc>
          <w:tcPr>
            <w:tcW w:w="2635" w:type="dxa"/>
            <w:noWrap w:val="0"/>
            <w:vAlign w:val="center"/>
          </w:tcPr>
          <w:p w14:paraId="4F723B71">
            <w:pPr>
              <w:spacing w:line="400" w:lineRule="atLeast"/>
              <w:ind w:left="-4664" w:leftChars="-2221" w:right="17" w:firstLine="4665" w:firstLineChars="1944"/>
              <w:jc w:val="center"/>
              <w:rPr>
                <w:rFonts w:hint="eastAsia" w:ascii="宋体" w:hAnsi="宋体" w:cs="宋体"/>
                <w:color w:val="auto"/>
                <w:sz w:val="24"/>
              </w:rPr>
            </w:pPr>
          </w:p>
        </w:tc>
        <w:tc>
          <w:tcPr>
            <w:tcW w:w="2099" w:type="dxa"/>
            <w:noWrap w:val="0"/>
            <w:vAlign w:val="center"/>
          </w:tcPr>
          <w:p w14:paraId="7AF7352C">
            <w:pPr>
              <w:spacing w:line="400" w:lineRule="atLeast"/>
              <w:ind w:left="-4664" w:leftChars="-2221" w:right="17" w:firstLine="4665" w:firstLineChars="1944"/>
              <w:jc w:val="center"/>
              <w:rPr>
                <w:rFonts w:hint="eastAsia" w:ascii="宋体" w:hAnsi="宋体" w:cs="宋体"/>
                <w:color w:val="auto"/>
                <w:sz w:val="24"/>
              </w:rPr>
            </w:pPr>
          </w:p>
        </w:tc>
        <w:tc>
          <w:tcPr>
            <w:tcW w:w="1217" w:type="dxa"/>
            <w:noWrap w:val="0"/>
            <w:vAlign w:val="center"/>
          </w:tcPr>
          <w:p w14:paraId="4AE31267">
            <w:pPr>
              <w:spacing w:line="400" w:lineRule="atLeast"/>
              <w:ind w:left="-4664" w:leftChars="-2221" w:right="17" w:firstLine="4665" w:firstLineChars="1944"/>
              <w:jc w:val="center"/>
              <w:rPr>
                <w:rFonts w:hint="eastAsia" w:ascii="宋体" w:hAnsi="宋体" w:cs="宋体"/>
                <w:color w:val="auto"/>
                <w:sz w:val="24"/>
              </w:rPr>
            </w:pPr>
          </w:p>
        </w:tc>
        <w:tc>
          <w:tcPr>
            <w:tcW w:w="1434" w:type="dxa"/>
            <w:noWrap w:val="0"/>
            <w:vAlign w:val="center"/>
          </w:tcPr>
          <w:p w14:paraId="2A0E3495">
            <w:pPr>
              <w:spacing w:line="400" w:lineRule="atLeast"/>
              <w:ind w:left="-4664" w:leftChars="-2221" w:right="17" w:firstLine="4665" w:firstLineChars="1944"/>
              <w:jc w:val="center"/>
              <w:rPr>
                <w:rFonts w:hint="eastAsia" w:ascii="宋体" w:hAnsi="宋体" w:cs="宋体"/>
                <w:color w:val="auto"/>
                <w:sz w:val="24"/>
              </w:rPr>
            </w:pPr>
          </w:p>
        </w:tc>
      </w:tr>
    </w:tbl>
    <w:p w14:paraId="17BB8668">
      <w:pPr>
        <w:tabs>
          <w:tab w:val="left" w:pos="3710"/>
        </w:tabs>
        <w:jc w:val="left"/>
        <w:rPr>
          <w:rFonts w:hint="eastAsia" w:ascii="宋体" w:hAnsi="宋体" w:cs="宋体"/>
          <w:color w:val="auto"/>
          <w:sz w:val="28"/>
          <w:szCs w:val="28"/>
        </w:rPr>
      </w:pPr>
      <w:r>
        <w:rPr>
          <w:rFonts w:hint="eastAsia" w:ascii="宋体" w:hAnsi="宋体" w:cs="宋体"/>
          <w:color w:val="auto"/>
          <w:sz w:val="28"/>
          <w:szCs w:val="28"/>
        </w:rPr>
        <w:t>注：每个项目填一份附件清单，附件清单内容参照标书内各项目耗材限价或阳光采购限价填写，不得高于限价。</w:t>
      </w:r>
    </w:p>
    <w:p w14:paraId="7C9B65F3">
      <w:pPr>
        <w:tabs>
          <w:tab w:val="left" w:pos="3710"/>
        </w:tabs>
        <w:jc w:val="left"/>
        <w:rPr>
          <w:rFonts w:hint="eastAsia" w:ascii="宋体" w:hAnsi="宋体" w:cs="宋体"/>
          <w:color w:val="auto"/>
          <w:sz w:val="28"/>
          <w:szCs w:val="28"/>
        </w:rPr>
      </w:pPr>
    </w:p>
    <w:p w14:paraId="0961E631">
      <w:pPr>
        <w:tabs>
          <w:tab w:val="left" w:pos="3710"/>
        </w:tabs>
        <w:jc w:val="left"/>
        <w:rPr>
          <w:rFonts w:hint="eastAsia" w:ascii="宋体" w:hAnsi="宋体" w:cs="宋体"/>
          <w:color w:val="auto"/>
          <w:sz w:val="28"/>
          <w:szCs w:val="28"/>
        </w:rPr>
      </w:pPr>
    </w:p>
    <w:p w14:paraId="2A131ABA">
      <w:pPr>
        <w:tabs>
          <w:tab w:val="left" w:pos="3710"/>
        </w:tabs>
        <w:jc w:val="left"/>
        <w:rPr>
          <w:rFonts w:hint="eastAsia" w:ascii="仿宋_GB2312" w:hAnsi="仿宋_GB2312" w:eastAsia="仿宋_GB2312" w:cs="仿宋_GB2312"/>
          <w:color w:val="auto"/>
        </w:rPr>
      </w:pPr>
    </w:p>
    <w:p w14:paraId="54CACD18">
      <w:pPr>
        <w:tabs>
          <w:tab w:val="left" w:pos="3710"/>
        </w:tabs>
        <w:jc w:val="left"/>
        <w:rPr>
          <w:rFonts w:hint="eastAsia" w:ascii="宋体" w:hAnsi="宋体" w:cs="宋体"/>
          <w:color w:val="auto"/>
          <w:sz w:val="28"/>
          <w:szCs w:val="28"/>
        </w:rPr>
      </w:pPr>
    </w:p>
    <w:p w14:paraId="47D371C2">
      <w:pPr>
        <w:tabs>
          <w:tab w:val="left" w:pos="3710"/>
        </w:tabs>
        <w:jc w:val="left"/>
        <w:rPr>
          <w:rFonts w:hint="eastAsia" w:ascii="宋体" w:hAnsi="宋体" w:cs="宋体"/>
          <w:color w:val="auto"/>
          <w:sz w:val="28"/>
          <w:szCs w:val="28"/>
        </w:rPr>
      </w:pPr>
    </w:p>
    <w:p w14:paraId="38794D82">
      <w:pPr>
        <w:tabs>
          <w:tab w:val="left" w:pos="3710"/>
        </w:tabs>
        <w:jc w:val="left"/>
        <w:rPr>
          <w:rFonts w:hint="eastAsia" w:ascii="宋体" w:hAnsi="宋体" w:cs="宋体"/>
          <w:color w:val="auto"/>
          <w:sz w:val="28"/>
          <w:szCs w:val="28"/>
        </w:rPr>
      </w:pPr>
      <w:r>
        <w:rPr>
          <w:rFonts w:hint="eastAsia" w:ascii="宋体" w:hAnsi="宋体" w:cs="宋体"/>
          <w:color w:val="auto"/>
          <w:sz w:val="28"/>
          <w:szCs w:val="28"/>
        </w:rPr>
        <w:t xml:space="preserve">附件3： </w:t>
      </w:r>
    </w:p>
    <w:p w14:paraId="7B5B45C9">
      <w:pPr>
        <w:tabs>
          <w:tab w:val="left" w:pos="3710"/>
        </w:tabs>
        <w:jc w:val="left"/>
        <w:rPr>
          <w:rFonts w:hint="eastAsia" w:ascii="宋体" w:hAnsi="宋体" w:cs="宋体"/>
          <w:color w:val="auto"/>
          <w:sz w:val="28"/>
          <w:szCs w:val="28"/>
        </w:rPr>
      </w:pPr>
      <w:r>
        <w:rPr>
          <w:rFonts w:hint="eastAsia" w:ascii="宋体" w:hAnsi="宋体" w:cs="宋体"/>
          <w:color w:val="auto"/>
          <w:sz w:val="28"/>
          <w:szCs w:val="28"/>
        </w:rPr>
        <w:t>采购需求</w:t>
      </w:r>
    </w:p>
    <w:p w14:paraId="09E0514B">
      <w:pPr>
        <w:tabs>
          <w:tab w:val="left" w:pos="3710"/>
        </w:tabs>
        <w:jc w:val="left"/>
        <w:rPr>
          <w:rFonts w:hint="eastAsia" w:ascii="宋体" w:hAnsi="宋体" w:cs="宋体"/>
          <w:color w:val="auto"/>
          <w:sz w:val="28"/>
          <w:szCs w:val="28"/>
        </w:rPr>
      </w:pPr>
    </w:p>
    <w:p w14:paraId="5C5A912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B83B49"/>
    <w:multiLevelType w:val="singleLevel"/>
    <w:tmpl w:val="ACB83B49"/>
    <w:lvl w:ilvl="0" w:tentative="0">
      <w:start w:val="1"/>
      <w:numFmt w:val="decimal"/>
      <w:suff w:val="nothing"/>
      <w:lvlText w:val="%1、"/>
      <w:lvlJc w:val="left"/>
    </w:lvl>
  </w:abstractNum>
  <w:abstractNum w:abstractNumId="1">
    <w:nsid w:val="50D7DE15"/>
    <w:multiLevelType w:val="singleLevel"/>
    <w:tmpl w:val="50D7DE15"/>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DE3C5E"/>
    <w:rsid w:val="6FDE3C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keepNext w:val="0"/>
      <w:keepLines w:val="0"/>
      <w:widowControl w:val="0"/>
      <w:suppressLineNumbers w:val="0"/>
      <w:spacing w:before="0" w:beforeAutospacing="0" w:after="120" w:afterAutospacing="0"/>
      <w:ind w:left="0" w:right="0" w:firstLine="420" w:firstLineChars="100"/>
      <w:jc w:val="both"/>
    </w:pPr>
    <w:rPr>
      <w:rFonts w:hint="default" w:ascii="Times New Roman" w:hAnsi="Times New Roman" w:eastAsia="宋体" w:cs="Times New Roman"/>
      <w:kern w:val="2"/>
      <w:sz w:val="24"/>
      <w:szCs w:val="24"/>
      <w:lang w:val="en-US" w:eastAsia="zh-CN" w:bidi="ar"/>
    </w:rPr>
  </w:style>
  <w:style w:type="paragraph" w:styleId="3">
    <w:name w:val="Body Text"/>
    <w:basedOn w:val="1"/>
    <w:next w:val="1"/>
    <w:qFormat/>
    <w:uiPriority w:val="0"/>
    <w:pPr>
      <w:spacing w:after="120"/>
    </w:pPr>
  </w:style>
  <w:style w:type="paragraph" w:styleId="4">
    <w:name w:val="Body Text First Indent 2"/>
    <w:basedOn w:val="5"/>
    <w:next w:val="1"/>
    <w:qFormat/>
    <w:uiPriority w:val="99"/>
    <w:pPr>
      <w:ind w:firstLine="420" w:firstLineChars="200"/>
    </w:pPr>
  </w:style>
  <w:style w:type="paragraph" w:styleId="5">
    <w:name w:val="Body Text Indent"/>
    <w:basedOn w:val="1"/>
    <w:next w:val="6"/>
    <w:qFormat/>
    <w:uiPriority w:val="0"/>
    <w:pPr>
      <w:spacing w:after="120"/>
      <w:ind w:left="200" w:leftChars="200"/>
    </w:pPr>
  </w:style>
  <w:style w:type="paragraph" w:styleId="6">
    <w:name w:val="envelope return"/>
    <w:basedOn w:val="1"/>
    <w:qFormat/>
    <w:uiPriority w:val="99"/>
    <w:pPr>
      <w:snapToGrid w:val="0"/>
    </w:pPr>
    <w:rPr>
      <w:rFonts w:ascii="Arial" w:hAnsi="Arial" w:cs="Arial"/>
    </w:rPr>
  </w:style>
  <w:style w:type="paragraph" w:customStyle="1" w:styleId="9">
    <w:name w:val="列出段落1"/>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金山软件</Company>
  <Pages>11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2025-07-10T02:08:00Z</dcterms:created>
  <dc:creator>走花路的魔法师</dc:creator>
  <cp:lastModifiedBy>走花路的魔法师</cp:lastModifiedBy>
  <dcterms:modified xsi:type="dcterms:W3CDTF">2025-07-10T02:09:34Z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DBDEF714E31C4015B531CA7A0634C722_11</vt:lpwstr>
  </property>
  <property fmtid="{D5CDD505-2E9C-101B-9397-08002B2CF9AE}" pid="4" name="KSOTemplateDocerSaveRecord">
    <vt:lpwstr>eyJoZGlkIjoiOGVhNDYzM2ZkYzcxMjAwNGNjMDE2ODNjNzFkY2FjNmUiLCJ1c2VySWQiOiIxMzAwNzQ5MTIwIn0=</vt:lpwstr>
  </property>
</Properties>
</file>