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版本号：COCICC-ZXEYA-25071020250806001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智慧护理项目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COCICC-ZXEYA-250710</w:t>
      </w:r>
      <w:r>
        <w:br/>
      </w:r>
      <w:r>
        <w:br/>
      </w:r>
      <w:r>
        <w:br/>
      </w:r>
    </w:p>
    <w:p>
      <w:pPr>
        <w:pStyle w:val="null3"/>
        <w:jc w:val="center"/>
        <w:outlineLvl w:val="2"/>
      </w:pPr>
      <w:r>
        <w:rPr>
          <w:rFonts w:ascii="仿宋_GB2312" w:hAnsi="仿宋_GB2312" w:cs="仿宋_GB2312" w:eastAsia="仿宋_GB2312"/>
          <w:sz w:val="28"/>
          <w:b/>
        </w:rPr>
        <w:t>西安市儿童医院</w:t>
      </w:r>
    </w:p>
    <w:p>
      <w:pPr>
        <w:pStyle w:val="null3"/>
        <w:jc w:val="center"/>
        <w:outlineLvl w:val="2"/>
      </w:pPr>
      <w:r>
        <w:rPr>
          <w:rFonts w:ascii="仿宋_GB2312" w:hAnsi="仿宋_GB2312" w:cs="仿宋_GB2312" w:eastAsia="仿宋_GB2312"/>
          <w:sz w:val="28"/>
          <w:b/>
        </w:rPr>
        <w:t>中海建国际建设咨询集团有限责任公司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中海建国际建设咨询集团有限责任公司</w:t>
      </w:r>
      <w:r>
        <w:rPr>
          <w:rFonts w:ascii="仿宋_GB2312" w:hAnsi="仿宋_GB2312" w:cs="仿宋_GB2312" w:eastAsia="仿宋_GB2312"/>
        </w:rPr>
        <w:t>（以下简称“代理机构”）受</w:t>
      </w:r>
      <w:r>
        <w:rPr>
          <w:rFonts w:ascii="仿宋_GB2312" w:hAnsi="仿宋_GB2312" w:cs="仿宋_GB2312" w:eastAsia="仿宋_GB2312"/>
        </w:rPr>
        <w:t>西安市儿童医院</w:t>
      </w:r>
      <w:r>
        <w:rPr>
          <w:rFonts w:ascii="仿宋_GB2312" w:hAnsi="仿宋_GB2312" w:cs="仿宋_GB2312" w:eastAsia="仿宋_GB2312"/>
        </w:rPr>
        <w:t>委托，拟对</w:t>
      </w:r>
      <w:r>
        <w:rPr>
          <w:rFonts w:ascii="仿宋_GB2312" w:hAnsi="仿宋_GB2312" w:cs="仿宋_GB2312" w:eastAsia="仿宋_GB2312"/>
        </w:rPr>
        <w:t>智慧护理项目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COCICC-ZXEYA-250710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智慧护理项目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致力打造数智化护理，通过与医院HIS等信息系统的对接，将护士站关联信息进行深度资源整合，实现病区各个环节间信息互通，患者信息一屏尽览，所有的信息都能在整个病区的环节中形成闭环回路，信息在病区智能交互屏上实现动态同步，医护人员不用各个病房奔走，就可以更快速、准确、全面地关注患者情况，为患者提供更高效、贴心的护理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采购包1（智慧护理项目）：属于专门面向中小企业采购。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信用记录要求：供应商在递交响应文件截止时间前被“信用中国”网站（www.creditchina.gov.cn）和中国政府采购网（www.ccgp.gov.cn）上被列入失信被执行人、重大税收违法案件当事人名单、政府采购严重违法失信行为记录名单的，不得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西安市莲湖区西举院巷69号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029-87692082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中海建国际建设咨询集团有限责任公司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西安市雁塔区南二环西段154号易和蓝钻23楼西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董文剑、邓敏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029-88852536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代理服务费收费标准：参照国家计委颁布的《招标代理服务收费管理暂行办法》（计价格[2002]1980号）规定的招标代理服务收费标准下浮20%收取，由中标（成交）供应商向受托人支付。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西安市儿童医院</w:t>
      </w:r>
      <w:r>
        <w:rPr>
          <w:rFonts w:ascii="仿宋_GB2312" w:hAnsi="仿宋_GB2312" w:cs="仿宋_GB2312" w:eastAsia="仿宋_GB2312"/>
        </w:rPr>
        <w:t>和</w:t>
      </w:r>
      <w:r>
        <w:rPr>
          <w:rFonts w:ascii="仿宋_GB2312" w:hAnsi="仿宋_GB2312" w:cs="仿宋_GB2312" w:eastAsia="仿宋_GB2312"/>
        </w:rPr>
        <w:t>中海建国际建设咨询集团有限责任公司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西安市儿童医院</w:t>
      </w:r>
      <w:r>
        <w:rPr>
          <w:rFonts w:ascii="仿宋_GB2312" w:hAnsi="仿宋_GB2312" w:cs="仿宋_GB2312" w:eastAsia="仿宋_GB2312"/>
        </w:rPr>
        <w:t>负责解释。除上述磋商文件内容，其他内容由</w:t>
      </w:r>
      <w:r>
        <w:rPr>
          <w:rFonts w:ascii="仿宋_GB2312" w:hAnsi="仿宋_GB2312" w:cs="仿宋_GB2312" w:eastAsia="仿宋_GB2312"/>
        </w:rPr>
        <w:t>中海建国际建设咨询集团有限责任公司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中海建国际建设咨询集团有限责任公司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中海建国际建设咨询集团有限责任公司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中海建国际建设咨询集团有限责任公司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中海建国际建设咨询集团有限责任公司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联系人：董文剑</w:t>
      </w:r>
    </w:p>
    <w:p>
      <w:pPr>
        <w:pStyle w:val="null3"/>
      </w:pPr>
      <w:r>
        <w:rPr>
          <w:rFonts w:ascii="仿宋_GB2312" w:hAnsi="仿宋_GB2312" w:cs="仿宋_GB2312" w:eastAsia="仿宋_GB2312"/>
        </w:rPr>
        <w:t>联系电话：029-88852536-6008</w:t>
      </w:r>
    </w:p>
    <w:p>
      <w:pPr>
        <w:pStyle w:val="null3"/>
      </w:pPr>
      <w:r>
        <w:rPr>
          <w:rFonts w:ascii="仿宋_GB2312" w:hAnsi="仿宋_GB2312" w:cs="仿宋_GB2312" w:eastAsia="仿宋_GB2312"/>
        </w:rPr>
        <w:t>地址：西安市雁塔区南二环西段154号易和蓝钻23楼西侧</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该项目致力打造数智化护理，通过与医院HIS等信息系统的对接，将护士站关联信息进行深度资源整合，实现病区各个环节间信息互通，患者信息一屏尽览，所有的信息都能在整个病区的环节中形成闭环回路，信息在病区智能交互屏上实现动态同步，医护人员不用各个病房奔走，就可以更快速、准确、全面地关注患者情况，为患者提供更高效、贴心的护理工作。 本次项目，旨在护理工作的核心区域-护士站，配备交互大屏软件系统，用于集中展示和管理病区患者的各类信息，实现对病区整体护理工作的高效调度和管理；护士站交互大屏软件结合交互大屏硬件，充分整合患者基本信息、病历资料、检查检验结果、医嘱信息等多维度数据，通过护士站交互大屏进行集中展示，实现患者信息一屏尽览，方便医护人员快速获取关键信息。</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570,000.00</w:t>
      </w:r>
    </w:p>
    <w:p>
      <w:pPr>
        <w:pStyle w:val="null3"/>
      </w:pPr>
      <w:r>
        <w:rPr>
          <w:rFonts w:ascii="仿宋_GB2312" w:hAnsi="仿宋_GB2312" w:cs="仿宋_GB2312" w:eastAsia="仿宋_GB2312"/>
        </w:rPr>
        <w:t>采购包最高限价（元）: 570,000.00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智慧护理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标的名称：智慧护理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一、服务内容：（包括工作区域、工作内容等）</w:t>
            </w:r>
          </w:p>
          <w:p>
            <w:pPr>
              <w:pStyle w:val="null3"/>
              <w:jc w:val="both"/>
            </w:pPr>
            <w:r>
              <w:rPr>
                <w:rFonts w:ascii="仿宋_GB2312" w:hAnsi="仿宋_GB2312" w:cs="仿宋_GB2312" w:eastAsia="仿宋_GB2312"/>
                <w:sz w:val="20"/>
              </w:rPr>
              <w:t>本次项目，旨在护理工作的核心区域</w:t>
            </w:r>
            <w:r>
              <w:rPr>
                <w:rFonts w:ascii="仿宋_GB2312" w:hAnsi="仿宋_GB2312" w:cs="仿宋_GB2312" w:eastAsia="仿宋_GB2312"/>
                <w:sz w:val="20"/>
              </w:rPr>
              <w:t>-护士站，配备交互大屏软件系统，用于集中展示和管理病区患者的各类信息，实现对病区整体护理工作的高效调度和管理；护士站交互大屏软件结合交互大屏硬件，充分整合患者基本信息、病历资料、检查检验结果、医嘱信息等多维度数据，通过护士站交互大屏进行集中展示，实现患者信息一屏尽览，方便医护人员快速获取关键信息。</w:t>
            </w:r>
          </w:p>
          <w:p>
            <w:pPr>
              <w:pStyle w:val="null3"/>
              <w:jc w:val="both"/>
            </w:pPr>
            <w:r>
              <w:rPr>
                <w:rFonts w:ascii="仿宋_GB2312" w:hAnsi="仿宋_GB2312" w:cs="仿宋_GB2312" w:eastAsia="仿宋_GB2312"/>
                <w:sz w:val="20"/>
              </w:rPr>
              <w:t>软件功能需求：</w:t>
            </w:r>
          </w:p>
          <w:p>
            <w:pPr>
              <w:pStyle w:val="null3"/>
              <w:jc w:val="left"/>
            </w:pPr>
            <w:r>
              <w:rPr>
                <w:rFonts w:ascii="仿宋_GB2312" w:hAnsi="仿宋_GB2312" w:cs="仿宋_GB2312" w:eastAsia="仿宋_GB2312"/>
                <w:sz w:val="20"/>
              </w:rPr>
              <w:t>二、技术要求</w:t>
            </w:r>
          </w:p>
          <w:p>
            <w:pPr>
              <w:pStyle w:val="null3"/>
              <w:jc w:val="left"/>
            </w:pPr>
            <w:r>
              <w:rPr>
                <w:rFonts w:ascii="仿宋_GB2312" w:hAnsi="仿宋_GB2312" w:cs="仿宋_GB2312" w:eastAsia="仿宋_GB2312"/>
                <w:sz w:val="20"/>
              </w:rPr>
              <w:t>（一）软件功能需求：</w:t>
            </w:r>
          </w:p>
          <w:p>
            <w:pPr>
              <w:pStyle w:val="null3"/>
              <w:jc w:val="left"/>
            </w:pPr>
            <w:r>
              <w:rPr>
                <w:rFonts w:ascii="仿宋_GB2312" w:hAnsi="仿宋_GB2312" w:cs="仿宋_GB2312" w:eastAsia="仿宋_GB2312"/>
                <w:sz w:val="20"/>
              </w:rPr>
              <w:t>▲1、常规护理项目显示：展现常规护理内容，各病区可以自定义基础护理项目如测血压、床边血糖、心电监护、24小时出入量、相应治疗、转科、出入量、雾化吸入等并显示项目相关床位，整体数据实时更新；对科室/病区的所有患者的医嘱情况一目了然，方便护士、护士长把握科室医嘱、护理项目的整体情况（包括类别、数量、床号等）；同一护理项目存在较多的床位患者，能够支持内容分页显示；</w:t>
            </w:r>
          </w:p>
          <w:p>
            <w:pPr>
              <w:pStyle w:val="null3"/>
              <w:jc w:val="left"/>
            </w:pPr>
            <w:r>
              <w:rPr>
                <w:rFonts w:ascii="仿宋_GB2312" w:hAnsi="仿宋_GB2312" w:cs="仿宋_GB2312" w:eastAsia="仿宋_GB2312"/>
                <w:sz w:val="20"/>
              </w:rPr>
              <w:t>2、重点项目显示：支持配置显示病人总数、今日入院、今日出院、危重病人、不同护理等级的重点关注护理项目，显示项目人员总数，以及相应具体的床位床号。</w:t>
            </w:r>
          </w:p>
          <w:p>
            <w:pPr>
              <w:pStyle w:val="null3"/>
              <w:jc w:val="left"/>
            </w:pPr>
            <w:r>
              <w:rPr>
                <w:rFonts w:ascii="仿宋_GB2312" w:hAnsi="仿宋_GB2312" w:cs="仿宋_GB2312" w:eastAsia="仿宋_GB2312"/>
                <w:sz w:val="20"/>
              </w:rPr>
              <w:t>▲3、体征项目显示：支持配置的体征规则，显示科室当天的体征监测的护理项目及具体床号、频次等，对体温、血压、脉搏、呼吸监测等各项生命体征状况进行测量监测的任务进行提醒。</w:t>
            </w:r>
          </w:p>
          <w:p>
            <w:pPr>
              <w:pStyle w:val="null3"/>
              <w:jc w:val="left"/>
            </w:pPr>
            <w:r>
              <w:rPr>
                <w:rFonts w:ascii="仿宋_GB2312" w:hAnsi="仿宋_GB2312" w:cs="仿宋_GB2312" w:eastAsia="仿宋_GB2312"/>
                <w:sz w:val="20"/>
              </w:rPr>
              <w:t>4、自定义护理项目：支持配置自定义的护理项目，护士可以在大屏上手动调整、管理该项目下的病区患者/床位，以满足特殊情况需要。</w:t>
            </w:r>
          </w:p>
          <w:p>
            <w:pPr>
              <w:pStyle w:val="null3"/>
              <w:jc w:val="left"/>
            </w:pPr>
            <w:r>
              <w:rPr>
                <w:rFonts w:ascii="仿宋_GB2312" w:hAnsi="仿宋_GB2312" w:cs="仿宋_GB2312" w:eastAsia="仿宋_GB2312"/>
                <w:sz w:val="20"/>
              </w:rPr>
              <w:t>▲5、项目患者信息卡：支持点击护理项目下的床号，显示该床号患者简况，可跳转查看该患者详情；支持根据护理项目类型的不同，显示不同的简况内容（比如:体征类护理项目：折线图显示一天体征信息等）</w:t>
            </w:r>
          </w:p>
          <w:p>
            <w:pPr>
              <w:pStyle w:val="null3"/>
              <w:jc w:val="left"/>
            </w:pPr>
            <w:r>
              <w:rPr>
                <w:rFonts w:ascii="仿宋_GB2312" w:hAnsi="仿宋_GB2312" w:cs="仿宋_GB2312" w:eastAsia="仿宋_GB2312"/>
                <w:sz w:val="20"/>
              </w:rPr>
              <w:t>6、护理项目标记和提醒：支持对具体护理项（含床号），进行状态标注和醒目显示；支持为项目床号设定定时任务，到期进行语音播报提醒，提醒护士执行。</w:t>
            </w:r>
          </w:p>
          <w:p>
            <w:pPr>
              <w:pStyle w:val="null3"/>
              <w:jc w:val="left"/>
            </w:pPr>
            <w:r>
              <w:rPr>
                <w:rFonts w:ascii="仿宋_GB2312" w:hAnsi="仿宋_GB2312" w:cs="仿宋_GB2312" w:eastAsia="仿宋_GB2312"/>
                <w:sz w:val="20"/>
              </w:rPr>
              <w:t>7、任务时间轴：系统智能筛选当前时间段内需重点关注或执行的护理项目，在专门区域的展示提醒。</w:t>
            </w:r>
          </w:p>
          <w:p>
            <w:pPr>
              <w:pStyle w:val="null3"/>
              <w:jc w:val="left"/>
            </w:pPr>
            <w:r>
              <w:rPr>
                <w:rFonts w:ascii="仿宋_GB2312" w:hAnsi="仿宋_GB2312" w:cs="仿宋_GB2312" w:eastAsia="仿宋_GB2312"/>
                <w:sz w:val="20"/>
              </w:rPr>
              <w:t>▲8、新医嘱提醒：新开医嘱，在大屏首页提醒护士，以便护士及时处理医生下达的紧急医嘱。</w:t>
            </w:r>
          </w:p>
          <w:p>
            <w:pPr>
              <w:pStyle w:val="null3"/>
              <w:jc w:val="left"/>
            </w:pPr>
            <w:r>
              <w:rPr>
                <w:rFonts w:ascii="仿宋_GB2312" w:hAnsi="仿宋_GB2312" w:cs="仿宋_GB2312" w:eastAsia="仿宋_GB2312"/>
                <w:sz w:val="20"/>
              </w:rPr>
              <w:t>9、项目打印：可将大屏显示的多个护理项目/医嘱任务打印出来，以便护士对照统计和执行，手工抄写信息产生的遗漏或错误；支持多种打印模板配置；</w:t>
            </w:r>
          </w:p>
          <w:p>
            <w:pPr>
              <w:pStyle w:val="null3"/>
              <w:jc w:val="left"/>
            </w:pPr>
            <w:r>
              <w:rPr>
                <w:rFonts w:ascii="仿宋_GB2312" w:hAnsi="仿宋_GB2312" w:cs="仿宋_GB2312" w:eastAsia="仿宋_GB2312"/>
                <w:sz w:val="20"/>
              </w:rPr>
              <w:t>10、患者一览表：展示科室所有患者/床位的简要信息（包括但不限于床号、姓名、入院天数、主治医生、医保类型等）；支持以颜色、标注等显著区别患者病情和护理等级， 显示整个病区的所有病床状况（包括空床）等；支持按不同类别进行筛选展示，例如：病重、病危、不同护理等级、空床等；支持进一步点击查看患者的详细情况、医嘱情况；</w:t>
            </w:r>
          </w:p>
          <w:p>
            <w:pPr>
              <w:pStyle w:val="null3"/>
              <w:jc w:val="left"/>
            </w:pPr>
            <w:r>
              <w:rPr>
                <w:rFonts w:ascii="仿宋_GB2312" w:hAnsi="仿宋_GB2312" w:cs="仿宋_GB2312" w:eastAsia="仿宋_GB2312"/>
                <w:sz w:val="20"/>
              </w:rPr>
              <w:t>11、屏蔽患者/床位敏感信息：患者一览表中，支持切换简要信息模式；</w:t>
            </w:r>
          </w:p>
          <w:p>
            <w:pPr>
              <w:pStyle w:val="null3"/>
              <w:jc w:val="left"/>
            </w:pPr>
            <w:r>
              <w:rPr>
                <w:rFonts w:ascii="仿宋_GB2312" w:hAnsi="仿宋_GB2312" w:cs="仿宋_GB2312" w:eastAsia="仿宋_GB2312"/>
                <w:sz w:val="20"/>
              </w:rPr>
              <w:t>▲12、护士交班：支持对接提取科室病区信息，将当日班次内病人的各项状况汇总，自动生成交班报告，护士可直接在大屏上进行交班工作。交班信息模板及内容支持定义配置；支持患者逐个交班，符合护理交班过程规范；支持多日交班报告内容快速切换显示；</w:t>
            </w:r>
          </w:p>
          <w:p>
            <w:pPr>
              <w:pStyle w:val="null3"/>
              <w:jc w:val="left"/>
            </w:pPr>
            <w:r>
              <w:rPr>
                <w:rFonts w:ascii="仿宋_GB2312" w:hAnsi="仿宋_GB2312" w:cs="仿宋_GB2312" w:eastAsia="仿宋_GB2312"/>
                <w:sz w:val="20"/>
              </w:rPr>
              <w:t>13、护士排班：护士站大屏能显示科室当日班次具体人员信息，并能查看护士个人一周班次详情。支持科室护士排班后台管理，支持班次一键继承；</w:t>
            </w:r>
          </w:p>
          <w:p>
            <w:pPr>
              <w:pStyle w:val="null3"/>
              <w:jc w:val="left"/>
            </w:pPr>
            <w:r>
              <w:rPr>
                <w:rFonts w:ascii="仿宋_GB2312" w:hAnsi="仿宋_GB2312" w:cs="仿宋_GB2312" w:eastAsia="仿宋_GB2312"/>
                <w:sz w:val="20"/>
              </w:rPr>
              <w:t>14、借出物管理：在护士站大屏上对借入、借出物管理，物品的借出和归还都有详细的记录。</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15、换床管理：显示科室换床、加床及占床信息，支持手动添加换床信息，同时可根据HIS换床信息自动修改显示，护士不再需要抄写或记录，既能快速录入信息，又能即刻显示换床信息。</w:t>
            </w:r>
          </w:p>
          <w:p>
            <w:pPr>
              <w:pStyle w:val="null3"/>
              <w:jc w:val="left"/>
            </w:pPr>
            <w:r>
              <w:rPr>
                <w:rFonts w:ascii="仿宋_GB2312" w:hAnsi="仿宋_GB2312" w:cs="仿宋_GB2312" w:eastAsia="仿宋_GB2312"/>
                <w:sz w:val="20"/>
              </w:rPr>
              <w:t>16、便签备忘录：支持在大屏端直接添加便签备忘录信息，同时也支持从后台管理添加备忘便签，并标记持续显示，可添加备忘信息给其他护士查看。</w:t>
            </w:r>
          </w:p>
          <w:p>
            <w:pPr>
              <w:pStyle w:val="null3"/>
              <w:jc w:val="left"/>
            </w:pPr>
            <w:r>
              <w:rPr>
                <w:rFonts w:ascii="仿宋_GB2312" w:hAnsi="仿宋_GB2312" w:cs="仿宋_GB2312" w:eastAsia="仿宋_GB2312"/>
                <w:sz w:val="20"/>
              </w:rPr>
              <w:t>17、通知消息：由护理部或护士长从后台管理下发的科室通知，信息快速广播并提示在护士站大屏上，可点击查看通知详细内容。</w:t>
            </w:r>
          </w:p>
          <w:p>
            <w:pPr>
              <w:pStyle w:val="null3"/>
              <w:jc w:val="left"/>
            </w:pPr>
            <w:r>
              <w:rPr>
                <w:rFonts w:ascii="仿宋_GB2312" w:hAnsi="仿宋_GB2312" w:cs="仿宋_GB2312" w:eastAsia="仿宋_GB2312"/>
                <w:sz w:val="20"/>
              </w:rPr>
              <w:t>18、医护信息：在大屏显示当前的值班医生、护士信息，以及护士责任管床、医生线级分管床位等信息。护士可快速获得科室当前的值班和管床信息。</w:t>
            </w:r>
          </w:p>
          <w:p>
            <w:pPr>
              <w:pStyle w:val="null3"/>
              <w:jc w:val="left"/>
            </w:pPr>
            <w:r>
              <w:rPr>
                <w:rFonts w:ascii="仿宋_GB2312" w:hAnsi="仿宋_GB2312" w:cs="仿宋_GB2312" w:eastAsia="仿宋_GB2312"/>
                <w:sz w:val="20"/>
              </w:rPr>
              <w:t>▲19、护士学习教育：支持将培训、学习的资料课件、文档、视频通过后台管理上传以及对资源库的管理；在护士站可以通过大屏直接查看、播放，利用碎片化时间进行护士的教育、培训等，满足传统的小型会议投影，资料分享学习的需求；</w:t>
            </w:r>
          </w:p>
          <w:p>
            <w:pPr>
              <w:pStyle w:val="null3"/>
              <w:jc w:val="left"/>
            </w:pPr>
            <w:r>
              <w:rPr>
                <w:rFonts w:ascii="仿宋_GB2312" w:hAnsi="仿宋_GB2312" w:cs="仿宋_GB2312" w:eastAsia="仿宋_GB2312"/>
                <w:sz w:val="20"/>
              </w:rPr>
              <w:t>20、电子白板：提供大屏上的电子白板功能，并用户在屏幕上书写、勾画的信息以图片形式保存下来，支持对笔触的样式笔触颜色自定义选择，支持历史文件再次打开使用功能。</w:t>
            </w:r>
          </w:p>
          <w:p>
            <w:pPr>
              <w:pStyle w:val="null3"/>
              <w:jc w:val="left"/>
            </w:pPr>
            <w:r>
              <w:rPr>
                <w:rFonts w:ascii="仿宋_GB2312" w:hAnsi="仿宋_GB2312" w:cs="仿宋_GB2312" w:eastAsia="仿宋_GB2312"/>
                <w:sz w:val="20"/>
              </w:rPr>
              <w:t>21、安全锁屏：可以任意界面的内容进行锁屏，输入密码解锁后才能进行大屏更多内容的查看和交互。</w:t>
            </w:r>
          </w:p>
          <w:p>
            <w:pPr>
              <w:pStyle w:val="null3"/>
              <w:jc w:val="left"/>
            </w:pPr>
            <w:r>
              <w:rPr>
                <w:rFonts w:ascii="仿宋_GB2312" w:hAnsi="仿宋_GB2312" w:cs="仿宋_GB2312" w:eastAsia="仿宋_GB2312"/>
                <w:sz w:val="20"/>
              </w:rPr>
              <w:t>22、高级软件界面交互：支持换肤：支持夜间模式，及适配不同科室风格的界面配色方案。系统支持多点触控手势滑动控制，如可快速切换/关闭子界面，提升用户交互效率。</w:t>
            </w:r>
          </w:p>
          <w:p>
            <w:pPr>
              <w:pStyle w:val="null3"/>
              <w:jc w:val="left"/>
            </w:pPr>
            <w:r>
              <w:rPr>
                <w:rFonts w:ascii="仿宋_GB2312" w:hAnsi="仿宋_GB2312" w:cs="仿宋_GB2312" w:eastAsia="仿宋_GB2312"/>
                <w:sz w:val="20"/>
              </w:rPr>
              <w:t>23、快捷菜单：支持在界面上设置快捷菜单，一键式跳转目标功能，简单快捷。</w:t>
            </w:r>
          </w:p>
          <w:p>
            <w:pPr>
              <w:pStyle w:val="null3"/>
              <w:jc w:val="left"/>
            </w:pPr>
            <w:r>
              <w:rPr>
                <w:rFonts w:ascii="仿宋_GB2312" w:hAnsi="仿宋_GB2312" w:cs="仿宋_GB2312" w:eastAsia="仿宋_GB2312"/>
                <w:sz w:val="20"/>
              </w:rPr>
              <w:t>24、第三方硬件接入：支持第三方呼叫设备的接入，呼叫床号及相关信息直接在大屏上提示显示；</w:t>
            </w:r>
          </w:p>
          <w:p>
            <w:pPr>
              <w:pStyle w:val="null3"/>
              <w:jc w:val="left"/>
            </w:pPr>
            <w:r>
              <w:rPr>
                <w:rFonts w:ascii="仿宋_GB2312" w:hAnsi="仿宋_GB2312" w:cs="仿宋_GB2312" w:eastAsia="仿宋_GB2312"/>
                <w:sz w:val="20"/>
              </w:rPr>
              <w:t>25、综合管理后台：系统有综合后台管理系统和界面，支持统一的后台配置管理入口，支持多用户、不同角色的管理用户和权限管理；支持对医院各个科室的大屏进行功能、模块、内容的配置和管理，以及对系统的自身的参数设定等；</w:t>
            </w:r>
          </w:p>
          <w:p>
            <w:pPr>
              <w:pStyle w:val="null3"/>
              <w:jc w:val="left"/>
            </w:pPr>
            <w:r>
              <w:rPr>
                <w:rFonts w:ascii="仿宋_GB2312" w:hAnsi="仿宋_GB2312" w:cs="仿宋_GB2312" w:eastAsia="仿宋_GB2312"/>
                <w:sz w:val="20"/>
              </w:rPr>
              <w:t>26、</w:t>
            </w:r>
            <w:r>
              <w:rPr>
                <w:rFonts w:ascii="仿宋_GB2312" w:hAnsi="仿宋_GB2312" w:cs="仿宋_GB2312" w:eastAsia="仿宋_GB2312"/>
                <w:sz w:val="20"/>
                <w:color w:val="000000"/>
              </w:rPr>
              <w:t>身份智能筛选</w:t>
            </w:r>
            <w:r>
              <w:rPr>
                <w:rFonts w:ascii="仿宋_GB2312" w:hAnsi="仿宋_GB2312" w:cs="仿宋_GB2312" w:eastAsia="仿宋_GB2312"/>
                <w:sz w:val="20"/>
                <w:color w:val="000000"/>
              </w:rPr>
              <w:t>:任意护士通过个人身份选择后</w:t>
            </w:r>
            <w:r>
              <w:rPr>
                <w:rFonts w:ascii="仿宋_GB2312" w:hAnsi="仿宋_GB2312" w:cs="仿宋_GB2312" w:eastAsia="仿宋_GB2312"/>
                <w:sz w:val="20"/>
              </w:rPr>
              <w:t>，会智能进行护理项目、床位患者、时间轴等模块功能的内容筛选过滤，主要显示与登录的护士相关的信息内容，优化护士护理工作流程，提高工作效率；</w:t>
            </w:r>
          </w:p>
          <w:p>
            <w:pPr>
              <w:pStyle w:val="null3"/>
              <w:jc w:val="left"/>
            </w:pPr>
            <w:r>
              <w:rPr>
                <w:rFonts w:ascii="仿宋_GB2312" w:hAnsi="仿宋_GB2312" w:cs="仿宋_GB2312" w:eastAsia="仿宋_GB2312"/>
                <w:sz w:val="20"/>
              </w:rPr>
              <w:t>27、自动更新:分布在医院各个科室病区的大屏终端上的软件，支持远端统一版本发布后自动升级更新，无需逐个手动升级；</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color w:val="000000"/>
              </w:rPr>
              <w:t>28、支持上传:支持上传视频、PPT等资料，方便后期学习培训；</w:t>
            </w:r>
          </w:p>
          <w:p>
            <w:pPr>
              <w:pStyle w:val="null3"/>
              <w:jc w:val="left"/>
            </w:pPr>
            <w:r>
              <w:rPr>
                <w:rFonts w:ascii="仿宋_GB2312" w:hAnsi="仿宋_GB2312" w:cs="仿宋_GB2312" w:eastAsia="仿宋_GB2312"/>
                <w:sz w:val="20"/>
              </w:rPr>
              <w:t>▲29、病区质量统计:支持显示当前病区患者出入量，床位使用率，以及医护人员在岗情况，实时展示在院人数，各个护理项目统计人数等统计。自定义可以设置高风险项目进行展示，自定义一场体征进行展示；</w:t>
            </w:r>
          </w:p>
          <w:p>
            <w:pPr>
              <w:pStyle w:val="null3"/>
              <w:jc w:val="left"/>
            </w:pPr>
            <w:r>
              <w:rPr>
                <w:rFonts w:ascii="仿宋_GB2312" w:hAnsi="仿宋_GB2312" w:cs="仿宋_GB2312" w:eastAsia="仿宋_GB2312"/>
                <w:sz w:val="20"/>
              </w:rPr>
              <w:t>▲30、手术预约:对接医院手术系统，在大屏上进行手术预约展示，可在后台配置设置展示方式为列表或者总览看板模式；</w:t>
            </w:r>
          </w:p>
          <w:p>
            <w:pPr>
              <w:pStyle w:val="null3"/>
              <w:jc w:val="left"/>
            </w:pPr>
            <w:r>
              <w:rPr>
                <w:rFonts w:ascii="仿宋_GB2312" w:hAnsi="仿宋_GB2312" w:cs="仿宋_GB2312" w:eastAsia="仿宋_GB2312"/>
                <w:sz w:val="20"/>
              </w:rPr>
              <w:t>31、第三方插件:支持第三方开发的应用无缝整合至护理大屏。包括Web,EXE和Dll方式。</w:t>
            </w:r>
          </w:p>
          <w:p>
            <w:pPr>
              <w:pStyle w:val="null3"/>
              <w:jc w:val="left"/>
            </w:pPr>
            <w:r>
              <w:rPr>
                <w:rFonts w:ascii="仿宋_GB2312" w:hAnsi="仿宋_GB2312" w:cs="仿宋_GB2312" w:eastAsia="仿宋_GB2312"/>
                <w:sz w:val="20"/>
              </w:rPr>
              <w:t>32、实施方负责以上功能实现的接口对接费用。</w:t>
            </w:r>
          </w:p>
          <w:p>
            <w:pPr>
              <w:pStyle w:val="null3"/>
              <w:jc w:val="left"/>
            </w:pPr>
            <w:r>
              <w:rPr>
                <w:rFonts w:ascii="仿宋_GB2312" w:hAnsi="仿宋_GB2312" w:cs="仿宋_GB2312" w:eastAsia="仿宋_GB2312"/>
                <w:sz w:val="20"/>
              </w:rPr>
              <w:t>（二）硬件功能需求及参数：</w:t>
            </w:r>
          </w:p>
          <w:p>
            <w:pPr>
              <w:pStyle w:val="null3"/>
              <w:jc w:val="left"/>
            </w:pPr>
            <w:r>
              <w:rPr>
                <w:rFonts w:ascii="仿宋_GB2312" w:hAnsi="仿宋_GB2312" w:cs="仿宋_GB2312" w:eastAsia="仿宋_GB2312"/>
                <w:sz w:val="20"/>
              </w:rPr>
              <w:t>终端大屏以满足临床科室（</w:t>
            </w:r>
            <w:r>
              <w:rPr>
                <w:rFonts w:ascii="仿宋_GB2312" w:hAnsi="仿宋_GB2312" w:cs="仿宋_GB2312" w:eastAsia="仿宋_GB2312"/>
                <w:sz w:val="20"/>
              </w:rPr>
              <w:t>13个病区）实际应用需求为准，参考下表配置，不应低于该配置。</w:t>
            </w:r>
          </w:p>
          <w:p>
            <w:pPr>
              <w:pStyle w:val="null3"/>
              <w:jc w:val="left"/>
            </w:pPr>
            <w:r>
              <w:rPr>
                <w:rFonts w:ascii="仿宋_GB2312" w:hAnsi="仿宋_GB2312" w:cs="仿宋_GB2312" w:eastAsia="仿宋_GB2312"/>
                <w:sz w:val="20"/>
              </w:rPr>
              <w:t>触摸一体机（</w:t>
            </w:r>
            <w:r>
              <w:rPr>
                <w:rFonts w:ascii="仿宋_GB2312" w:hAnsi="仿宋_GB2312" w:cs="仿宋_GB2312" w:eastAsia="仿宋_GB2312"/>
                <w:sz w:val="20"/>
              </w:rPr>
              <w:t>13台）：</w:t>
            </w:r>
          </w:p>
          <w:p>
            <w:pPr>
              <w:pStyle w:val="null3"/>
              <w:jc w:val="left"/>
            </w:pPr>
            <w:r>
              <w:rPr>
                <w:rFonts w:ascii="仿宋_GB2312" w:hAnsi="仿宋_GB2312" w:cs="仿宋_GB2312" w:eastAsia="仿宋_GB2312"/>
                <w:sz w:val="20"/>
              </w:rPr>
              <w:t>投标方可根据自身方案，提出具体硬件配置，原则上以不低于以下要求的配置为准：</w:t>
            </w:r>
          </w:p>
          <w:p>
            <w:pPr>
              <w:pStyle w:val="null3"/>
              <w:jc w:val="left"/>
            </w:pPr>
            <w:r>
              <w:rPr>
                <w:rFonts w:ascii="仿宋_GB2312" w:hAnsi="仿宋_GB2312" w:cs="仿宋_GB2312" w:eastAsia="仿宋_GB2312"/>
                <w:sz w:val="20"/>
              </w:rPr>
              <w:t>1.显示屏参数：</w:t>
            </w:r>
          </w:p>
          <w:p>
            <w:pPr>
              <w:pStyle w:val="null3"/>
              <w:jc w:val="left"/>
            </w:pPr>
            <w:r>
              <w:rPr>
                <w:rFonts w:ascii="仿宋_GB2312" w:hAnsi="仿宋_GB2312" w:cs="仿宋_GB2312" w:eastAsia="仿宋_GB2312"/>
                <w:sz w:val="20"/>
              </w:rPr>
              <w:t>屏幕尺寸</w:t>
            </w:r>
            <w:r>
              <w:rPr>
                <w:rFonts w:ascii="仿宋_GB2312" w:hAnsi="仿宋_GB2312" w:cs="仿宋_GB2312" w:eastAsia="仿宋_GB2312"/>
                <w:sz w:val="20"/>
              </w:rPr>
              <w:t>65英寸，亮度≥450 cd/㎡，对比度≥4000：1，显示比例：16:9。</w:t>
            </w:r>
          </w:p>
          <w:p>
            <w:pPr>
              <w:pStyle w:val="null3"/>
              <w:jc w:val="left"/>
            </w:pPr>
            <w:r>
              <w:rPr>
                <w:rFonts w:ascii="仿宋_GB2312" w:hAnsi="仿宋_GB2312" w:cs="仿宋_GB2312" w:eastAsia="仿宋_GB2312"/>
                <w:sz w:val="20"/>
              </w:rPr>
              <w:t>屏幕分辨率</w:t>
            </w:r>
            <w:r>
              <w:rPr>
                <w:rFonts w:ascii="仿宋_GB2312" w:hAnsi="仿宋_GB2312" w:cs="仿宋_GB2312" w:eastAsia="仿宋_GB2312"/>
                <w:sz w:val="20"/>
              </w:rPr>
              <w:t>≥ 3840×2160，满足全高清分辨率显示要求。</w:t>
            </w:r>
          </w:p>
          <w:p>
            <w:pPr>
              <w:pStyle w:val="null3"/>
              <w:jc w:val="left"/>
            </w:pPr>
            <w:r>
              <w:rPr>
                <w:rFonts w:ascii="仿宋_GB2312" w:hAnsi="仿宋_GB2312" w:cs="仿宋_GB2312" w:eastAsia="仿宋_GB2312"/>
                <w:sz w:val="20"/>
              </w:rPr>
              <w:t>整机采用防眩光玻璃面板，玻璃透过率不低于</w:t>
            </w:r>
            <w:r>
              <w:rPr>
                <w:rFonts w:ascii="仿宋_GB2312" w:hAnsi="仿宋_GB2312" w:cs="仿宋_GB2312" w:eastAsia="仿宋_GB2312"/>
                <w:sz w:val="20"/>
              </w:rPr>
              <w:t>88% ,玻璃面板硬度≥7H。</w:t>
            </w:r>
          </w:p>
          <w:p>
            <w:pPr>
              <w:pStyle w:val="null3"/>
              <w:jc w:val="left"/>
            </w:pPr>
            <w:r>
              <w:rPr>
                <w:rFonts w:ascii="仿宋_GB2312" w:hAnsi="仿宋_GB2312" w:cs="仿宋_GB2312" w:eastAsia="仿宋_GB2312"/>
                <w:sz w:val="20"/>
              </w:rPr>
              <w:t>超薄窄边框设计，</w:t>
            </w:r>
          </w:p>
          <w:p>
            <w:pPr>
              <w:pStyle w:val="null3"/>
              <w:jc w:val="left"/>
            </w:pPr>
            <w:r>
              <w:rPr>
                <w:rFonts w:ascii="仿宋_GB2312" w:hAnsi="仿宋_GB2312" w:cs="仿宋_GB2312" w:eastAsia="仿宋_GB2312"/>
                <w:sz w:val="20"/>
              </w:rPr>
              <w:t>2.触摸书写系统：</w:t>
            </w:r>
          </w:p>
          <w:p>
            <w:pPr>
              <w:pStyle w:val="null3"/>
              <w:jc w:val="left"/>
            </w:pPr>
            <w:r>
              <w:rPr>
                <w:rFonts w:ascii="仿宋_GB2312" w:hAnsi="仿宋_GB2312" w:cs="仿宋_GB2312" w:eastAsia="仿宋_GB2312"/>
                <w:sz w:val="20"/>
              </w:rPr>
              <w:t>红外识别原理，触摸点数</w:t>
            </w:r>
            <w:r>
              <w:rPr>
                <w:rFonts w:ascii="仿宋_GB2312" w:hAnsi="仿宋_GB2312" w:cs="仿宋_GB2312" w:eastAsia="仿宋_GB2312"/>
                <w:sz w:val="20"/>
              </w:rPr>
              <w:t>≥15，</w:t>
            </w:r>
          </w:p>
          <w:p>
            <w:pPr>
              <w:pStyle w:val="null3"/>
              <w:jc w:val="left"/>
            </w:pPr>
            <w:r>
              <w:rPr>
                <w:rFonts w:ascii="仿宋_GB2312" w:hAnsi="仿宋_GB2312" w:cs="仿宋_GB2312" w:eastAsia="仿宋_GB2312"/>
                <w:sz w:val="20"/>
              </w:rPr>
              <w:t>触摸精度：</w:t>
            </w:r>
            <w:r>
              <w:rPr>
                <w:rFonts w:ascii="仿宋_GB2312" w:hAnsi="仿宋_GB2312" w:cs="仿宋_GB2312" w:eastAsia="仿宋_GB2312"/>
                <w:sz w:val="20"/>
              </w:rPr>
              <w:t>90%以上的触摸区域为 ±1mm。</w:t>
            </w:r>
          </w:p>
          <w:p>
            <w:pPr>
              <w:pStyle w:val="null3"/>
              <w:jc w:val="left"/>
            </w:pPr>
            <w:r>
              <w:rPr>
                <w:rFonts w:ascii="仿宋_GB2312" w:hAnsi="仿宋_GB2312" w:cs="仿宋_GB2312" w:eastAsia="仿宋_GB2312"/>
                <w:sz w:val="20"/>
              </w:rPr>
              <w:t>3.内置系统：</w:t>
            </w:r>
          </w:p>
          <w:p>
            <w:pPr>
              <w:pStyle w:val="null3"/>
              <w:jc w:val="left"/>
            </w:pPr>
            <w:r>
              <w:rPr>
                <w:rFonts w:ascii="仿宋_GB2312" w:hAnsi="仿宋_GB2312" w:cs="仿宋_GB2312" w:eastAsia="仿宋_GB2312"/>
                <w:sz w:val="20"/>
              </w:rPr>
              <w:t>模块化设计，内置安卓系统。提供扩展接口，支持后续选配</w:t>
            </w:r>
            <w:r>
              <w:rPr>
                <w:rFonts w:ascii="仿宋_GB2312" w:hAnsi="仿宋_GB2312" w:cs="仿宋_GB2312" w:eastAsia="仿宋_GB2312"/>
                <w:sz w:val="20"/>
              </w:rPr>
              <w:t>PC或Android模块，形成双系统。</w:t>
            </w:r>
          </w:p>
          <w:p>
            <w:pPr>
              <w:pStyle w:val="null3"/>
              <w:jc w:val="left"/>
            </w:pPr>
            <w:r>
              <w:rPr>
                <w:rFonts w:ascii="仿宋_GB2312" w:hAnsi="仿宋_GB2312" w:cs="仿宋_GB2312" w:eastAsia="仿宋_GB2312"/>
                <w:sz w:val="20"/>
              </w:rPr>
              <w:t>Android系统版本9.0及以上，存储容量≥64G ROM，系统内存≥8G RAM</w:t>
            </w:r>
          </w:p>
          <w:p>
            <w:pPr>
              <w:pStyle w:val="null3"/>
              <w:jc w:val="left"/>
            </w:pPr>
            <w:r>
              <w:rPr>
                <w:rFonts w:ascii="仿宋_GB2312" w:hAnsi="仿宋_GB2312" w:cs="仿宋_GB2312" w:eastAsia="仿宋_GB2312"/>
                <w:sz w:val="20"/>
              </w:rPr>
              <w:t>PC：windows系统</w:t>
            </w:r>
          </w:p>
          <w:p>
            <w:pPr>
              <w:pStyle w:val="null3"/>
              <w:jc w:val="left"/>
            </w:pPr>
            <w:r>
              <w:rPr>
                <w:rFonts w:ascii="仿宋_GB2312" w:hAnsi="仿宋_GB2312" w:cs="仿宋_GB2312" w:eastAsia="仿宋_GB2312"/>
                <w:sz w:val="20"/>
              </w:rPr>
              <w:t>处理器</w:t>
            </w:r>
            <w:r>
              <w:rPr>
                <w:rFonts w:ascii="仿宋_GB2312" w:hAnsi="仿宋_GB2312" w:cs="仿宋_GB2312" w:eastAsia="仿宋_GB2312"/>
                <w:sz w:val="20"/>
              </w:rPr>
              <w:t>≥Intel Core i5十一代处理器及以上，内存≥8G DDR4；硬盘≥256G固态硬盘配置。内置双WiFi：IEEE 802.11b/g/n标准；内置网卡：10M/100M/1000M。</w:t>
            </w:r>
          </w:p>
          <w:p>
            <w:pPr>
              <w:pStyle w:val="null3"/>
              <w:jc w:val="left"/>
            </w:pPr>
            <w:r>
              <w:rPr>
                <w:rFonts w:ascii="仿宋_GB2312" w:hAnsi="仿宋_GB2312" w:cs="仿宋_GB2312" w:eastAsia="仿宋_GB2312"/>
                <w:sz w:val="20"/>
              </w:rPr>
              <w:t>4.输入输出端口：</w:t>
            </w:r>
          </w:p>
          <w:p>
            <w:pPr>
              <w:pStyle w:val="null3"/>
              <w:jc w:val="left"/>
            </w:pPr>
            <w:r>
              <w:rPr>
                <w:rFonts w:ascii="仿宋_GB2312" w:hAnsi="仿宋_GB2312" w:cs="仿宋_GB2312" w:eastAsia="仿宋_GB2312"/>
                <w:sz w:val="20"/>
              </w:rPr>
              <w:t>后置输入接口：</w:t>
            </w:r>
            <w:r>
              <w:rPr>
                <w:rFonts w:ascii="仿宋_GB2312" w:hAnsi="仿宋_GB2312" w:cs="仿宋_GB2312" w:eastAsia="仿宋_GB2312"/>
                <w:sz w:val="20"/>
              </w:rPr>
              <w:t>USB 3.0(Android)*1；USB 2.0(public)*2；HDMI IN  *2；AUDIO IN *1；RJ45 *1 ；RS232  *1 ；MIC IN  *1</w:t>
            </w:r>
          </w:p>
          <w:p>
            <w:pPr>
              <w:pStyle w:val="null3"/>
              <w:jc w:val="left"/>
            </w:pPr>
            <w:r>
              <w:rPr>
                <w:rFonts w:ascii="仿宋_GB2312" w:hAnsi="仿宋_GB2312" w:cs="仿宋_GB2312" w:eastAsia="仿宋_GB2312"/>
                <w:sz w:val="20"/>
              </w:rPr>
              <w:t>后置输出接口：</w:t>
            </w:r>
            <w:r>
              <w:rPr>
                <w:rFonts w:ascii="仿宋_GB2312" w:hAnsi="仿宋_GB2312" w:cs="仿宋_GB2312" w:eastAsia="仿宋_GB2312"/>
                <w:sz w:val="20"/>
              </w:rPr>
              <w:t>HDMI OUT *1 ；USB TOUCH *1 ；Earphone *1）前置接口：USB 2.0 (public)*2；HDMI IN*1（前置HDMI 1.4）；USB touch*1；</w:t>
            </w:r>
          </w:p>
          <w:p>
            <w:pPr>
              <w:pStyle w:val="null3"/>
              <w:jc w:val="left"/>
            </w:pPr>
            <w:r>
              <w:rPr>
                <w:rFonts w:ascii="仿宋_GB2312" w:hAnsi="仿宋_GB2312" w:cs="仿宋_GB2312" w:eastAsia="仿宋_GB2312"/>
                <w:sz w:val="20"/>
              </w:rPr>
              <w:t>5.电源要求：</w:t>
            </w:r>
          </w:p>
          <w:p>
            <w:pPr>
              <w:pStyle w:val="null3"/>
              <w:jc w:val="left"/>
            </w:pPr>
            <w:r>
              <w:rPr>
                <w:rFonts w:ascii="仿宋_GB2312" w:hAnsi="仿宋_GB2312" w:cs="仿宋_GB2312" w:eastAsia="仿宋_GB2312"/>
                <w:sz w:val="20"/>
              </w:rPr>
              <w:t>100-240V~50/60Hz，待机功耗≤0.5W。</w:t>
            </w:r>
          </w:p>
          <w:p>
            <w:pPr>
              <w:pStyle w:val="null3"/>
              <w:jc w:val="left"/>
            </w:pPr>
            <w:r>
              <w:rPr>
                <w:rFonts w:ascii="仿宋_GB2312" w:hAnsi="仿宋_GB2312" w:cs="仿宋_GB2312" w:eastAsia="仿宋_GB2312"/>
                <w:sz w:val="20"/>
              </w:rPr>
              <w:t>6.其他整机设计：</w:t>
            </w:r>
          </w:p>
          <w:p>
            <w:pPr>
              <w:pStyle w:val="null3"/>
              <w:jc w:val="left"/>
            </w:pPr>
            <w:r>
              <w:rPr>
                <w:rFonts w:ascii="仿宋_GB2312" w:hAnsi="仿宋_GB2312" w:cs="仿宋_GB2312" w:eastAsia="仿宋_GB2312"/>
                <w:sz w:val="20"/>
              </w:rPr>
              <w:t>内置高清摄像头</w:t>
            </w:r>
            <w:r>
              <w:rPr>
                <w:rFonts w:ascii="仿宋_GB2312" w:hAnsi="仿宋_GB2312" w:cs="仿宋_GB2312" w:eastAsia="仿宋_GB2312"/>
                <w:sz w:val="20"/>
              </w:rPr>
              <w:t>≥ 1080P  800万像素；</w:t>
            </w:r>
          </w:p>
          <w:p>
            <w:pPr>
              <w:pStyle w:val="null3"/>
              <w:jc w:val="left"/>
            </w:pPr>
            <w:r>
              <w:rPr>
                <w:rFonts w:ascii="仿宋_GB2312" w:hAnsi="仿宋_GB2312" w:cs="仿宋_GB2312" w:eastAsia="仿宋_GB2312"/>
                <w:sz w:val="20"/>
              </w:rPr>
              <w:t>内置麦克风</w:t>
            </w:r>
            <w:r>
              <w:rPr>
                <w:rFonts w:ascii="仿宋_GB2312" w:hAnsi="仿宋_GB2312" w:cs="仿宋_GB2312" w:eastAsia="仿宋_GB2312"/>
                <w:sz w:val="20"/>
              </w:rPr>
              <w:t>≥ 4个麦克风，有效拾音距离≥6米。</w:t>
            </w:r>
          </w:p>
          <w:p>
            <w:pPr>
              <w:pStyle w:val="null3"/>
              <w:jc w:val="left"/>
            </w:pPr>
            <w:r>
              <w:rPr>
                <w:rFonts w:ascii="仿宋_GB2312" w:hAnsi="仿宋_GB2312" w:cs="仿宋_GB2312" w:eastAsia="仿宋_GB2312"/>
                <w:sz w:val="20"/>
              </w:rPr>
              <w:t>产品符合强制性产品认证制度，需具备</w:t>
            </w:r>
            <w:r>
              <w:rPr>
                <w:rFonts w:ascii="仿宋_GB2312" w:hAnsi="仿宋_GB2312" w:cs="仿宋_GB2312" w:eastAsia="仿宋_GB2312"/>
                <w:sz w:val="20"/>
              </w:rPr>
              <w:t>CCC认证。</w:t>
            </w:r>
          </w:p>
          <w:p>
            <w:pPr>
              <w:pStyle w:val="null3"/>
              <w:jc w:val="left"/>
            </w:pPr>
            <w:r>
              <w:rPr>
                <w:rFonts w:ascii="仿宋_GB2312" w:hAnsi="仿宋_GB2312" w:cs="仿宋_GB2312" w:eastAsia="仿宋_GB2312"/>
                <w:sz w:val="20"/>
              </w:rPr>
              <w:t>产品经过中国节能产品认证，需具备节能认证证书</w:t>
            </w:r>
          </w:p>
          <w:p>
            <w:pPr>
              <w:pStyle w:val="null3"/>
              <w:jc w:val="left"/>
            </w:pPr>
            <w:r>
              <w:rPr>
                <w:rFonts w:ascii="仿宋_GB2312" w:hAnsi="仿宋_GB2312" w:cs="仿宋_GB2312" w:eastAsia="仿宋_GB2312"/>
                <w:sz w:val="20"/>
              </w:rPr>
              <w:t>三、服务要求</w:t>
            </w:r>
          </w:p>
          <w:p>
            <w:pPr>
              <w:pStyle w:val="null3"/>
              <w:jc w:val="left"/>
            </w:pPr>
            <w:r>
              <w:rPr>
                <w:rFonts w:ascii="仿宋_GB2312" w:hAnsi="仿宋_GB2312" w:cs="仿宋_GB2312" w:eastAsia="仿宋_GB2312"/>
                <w:sz w:val="20"/>
              </w:rPr>
              <w:t>1、所有硬件均须提供3年原厂免费保修，自硬件系统终验合格之日起计算。</w:t>
            </w:r>
          </w:p>
          <w:p>
            <w:pPr>
              <w:pStyle w:val="null3"/>
              <w:jc w:val="left"/>
            </w:pPr>
            <w:r>
              <w:rPr>
                <w:rFonts w:ascii="仿宋_GB2312" w:hAnsi="仿宋_GB2312" w:cs="仿宋_GB2312" w:eastAsia="仿宋_GB2312"/>
                <w:sz w:val="20"/>
              </w:rPr>
              <w:t>2、所有软件系统均须提供3年免费服务，服务期自项目整体验收通过之日起计算。</w:t>
            </w:r>
          </w:p>
          <w:p>
            <w:pPr>
              <w:pStyle w:val="null3"/>
              <w:jc w:val="left"/>
            </w:pPr>
            <w:r>
              <w:rPr>
                <w:rFonts w:ascii="仿宋_GB2312" w:hAnsi="仿宋_GB2312" w:cs="仿宋_GB2312" w:eastAsia="仿宋_GB2312"/>
                <w:sz w:val="20"/>
              </w:rPr>
              <w:t>3、服务期内免费开发与第三方应用软件接口。</w:t>
            </w:r>
          </w:p>
          <w:p>
            <w:pPr>
              <w:pStyle w:val="null3"/>
              <w:jc w:val="left"/>
            </w:pPr>
            <w:r>
              <w:rPr>
                <w:rFonts w:ascii="仿宋_GB2312" w:hAnsi="仿宋_GB2312" w:cs="仿宋_GB2312" w:eastAsia="仿宋_GB2312"/>
                <w:sz w:val="20"/>
              </w:rPr>
              <w:t>4、服务期内完成日常系统维护，系统本身bug的修改，参数的配置、报表的添加以及常规问题的解决。</w:t>
            </w:r>
          </w:p>
          <w:p>
            <w:pPr>
              <w:pStyle w:val="null3"/>
              <w:jc w:val="left"/>
            </w:pPr>
            <w:r>
              <w:rPr>
                <w:rFonts w:ascii="仿宋_GB2312" w:hAnsi="仿宋_GB2312" w:cs="仿宋_GB2312" w:eastAsia="仿宋_GB2312"/>
                <w:sz w:val="20"/>
              </w:rPr>
              <w:t>5、在软件质保期内提供免费系统升级服务。</w:t>
            </w:r>
          </w:p>
          <w:p>
            <w:pPr>
              <w:pStyle w:val="null3"/>
              <w:jc w:val="both"/>
            </w:pPr>
            <w:r>
              <w:rPr>
                <w:rFonts w:ascii="仿宋_GB2312" w:hAnsi="仿宋_GB2312" w:cs="仿宋_GB2312" w:eastAsia="仿宋_GB2312"/>
                <w:sz w:val="20"/>
              </w:rPr>
              <w:t>6、提供7天*24小时服务，1小时响应，4小时到达现场。</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详见评审细则</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详见服务要求相关内容</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合同签订后，自验收合格之日起3年。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西安市儿童医院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银行转账，甲方付款前，乙方应先向甲方提供等额发票及付款申请，否则甲方有权暂不付款，乙方仍应履行合同义务。合同签订后，货物到场并检验合格预付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项目安装调试完成，并通过验收后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考核合格后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1、进度要求：自合同签订之日起90个工作日完成全部项目内容并交付采购人验收合格。 2、成果交付要求：智慧护理软件1套，智慧护理大屏13台。 3、验收标准或规范：依据招标文件及相关需求文档，从系统的实用性、稳定性、可维护性、灵活性、可操作性及系统文档、规范及注释说明等方面全面组织验收。 4、合同签订后，若实施方提供产品（服务）与投标响应文件不符，招标方有权终止合同并要求实施方返还全部已支付款项。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1、供应商必须是具有独立承担民事责任能力的法人、其他组织或自然人，并出具合法有效的营业执照或事业单位法人证书等国家规定的相关证明，自然人参与的提供其身份证明； 2、法定代表人委托授权书（法定代表人参加不需提供，但需要提供法定代表人身份证）及被授权人身份证； 3、提供投标截止日前一年内已缴纳的至少三个月的纳税证明或完税证明（任意税种），依法免税的单位应提供相关证明材料； 4、提供投标截止日前一年内已缴存的至少三个月的社会保障资金缴存单据或社保机构开具的社会保险参保缴费情况证明，依法不需要缴纳社会保障资金的单位应提供相关证明材料； 5、提供参加政府采购活动前三年内，在经营活动中没有重大违法记录书面声明（需单独承诺）； 6、提供具有履行合同所必需的设备和专业技术能力的承诺书（需单独承诺）； 7、本项目不接受联合体投标。供应商需在项目电子化交易系统中按要求填写《投标函》完成承诺并进行电子签章。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法定代表人授权委托书.pdf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须提供经具有财务审计资质单位出具的完整的2024年度财务审计报告或投标文件截止时间前三个月内其基本存款账户开户银行出具的资信证明；成立时间至提交投标文件截止时间不足一年的可提供投标文件截止时间前三个月内其基本存款账户开户银行出具的资信证明或提供成立后任意时段的资产负债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供应商信用记录要求</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案件当事人名单、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依据招标文件的规定 ，对资格合格者投标文件的完整性 、有效性和对招标文件的响应程度 进行审查，以确定是否对招标文件 的实质性内容做出响应，包含但不限于以下内容：</w:t>
            </w:r>
          </w:p>
        </w:tc>
        <w:tc>
          <w:tcPr>
            <w:tcW w:type="dxa" w:w="3322"/>
          </w:tcPr>
          <w:p>
            <w:pPr>
              <w:pStyle w:val="null3"/>
            </w:pPr>
            <w:r>
              <w:rPr>
                <w:rFonts w:ascii="仿宋_GB2312" w:hAnsi="仿宋_GB2312" w:cs="仿宋_GB2312" w:eastAsia="仿宋_GB2312"/>
              </w:rPr>
              <w:t>（1）投标人名称是否与购买招标文件的单位名 称一致； （2）除明确允许投标人可以自行编写 的外，投标文件是否按照招标文件要求的格式编制； （3）投标文件是否按照招标文件的要求盖章、签字； （4）投标内容是否有重大缺漏项 ； （5）是否针对同一项目提交两份或多份内容不同的投标文件，未书面声明哪一份是有效的 或出现选择性报价的； （6）投标报价是否超过项目最高限价； （7）投标有效期是否符合招标文件的要求； （8）对招标文件商务要求是否作了明确且实质性响应； （9）对招标文件技术服务要 求是否作了明确响应，对不得偏离的要求是否 作了实质性响应； （10）投标文件是否含有采购人不能接受的附件条件； （11）是否符合法律、法规和招标文件规定的其他无效投标情形 。</w:t>
            </w:r>
          </w:p>
        </w:tc>
        <w:tc>
          <w:tcPr>
            <w:tcW w:type="dxa" w:w="1661"/>
          </w:tcPr>
          <w:p>
            <w:pPr>
              <w:pStyle w:val="null3"/>
            </w:pPr>
            <w:r>
              <w:rPr>
                <w:rFonts w:ascii="仿宋_GB2312" w:hAnsi="仿宋_GB2312" w:cs="仿宋_GB2312" w:eastAsia="仿宋_GB2312"/>
              </w:rPr>
              <w:t>响应文件封面 承诺书.pdf 供应商应提交的相关资格证明材料.docx 服务内容及服务邀请应答表 中小企业声明函 残疾人福利性单位声明函 商务应答表 服务方案 标的清单 法定代表人授权委托书.pdf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1、投标人具备 ISO9000系列质量管理体系认证证书、 ISO20000系列信息技术服务管理体系认证证书、 ISO27000系列信息安全管理体系认证证书， 每提供一个证书得2分 2、投标人具备CMMI3及以上证书，得2分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软件著作权证书</w:t>
            </w:r>
          </w:p>
        </w:tc>
        <w:tc>
          <w:tcPr>
            <w:tcW w:type="dxa" w:w="2492"/>
          </w:tcPr>
          <w:p>
            <w:pPr>
              <w:pStyle w:val="null3"/>
            </w:pPr>
            <w:r>
              <w:rPr>
                <w:rFonts w:ascii="仿宋_GB2312" w:hAnsi="仿宋_GB2312" w:cs="仿宋_GB2312" w:eastAsia="仿宋_GB2312"/>
              </w:rPr>
              <w:t>投标人或生产厂家具备软件著作权证书得2分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根据供应商针对本项目的理解分析，各部分内容全面详细、阐述条理清晰详尽、符合磋商文件要求。方案内容包含①项目理解；②现状分析；③服务流程；④重难点分析；⑤管理制度和协调方案。 二、评审标准 1、可实施性：方案须全面，对评审内容中的各项要求有详细描述及说明，切合本项目实际情况，清晰、合理； 2、针对性：方案能够紧扣标段实际情况，内容科学合理。 三、赋分标准（满分10分） ①项目理解：每一项评审标准0-1分，满分2分； ②现状分析:每一项评审标准0-1分，满分2分； ③服务流程:每一项评审标准0-1分，满分2分； ④重难点分析：每一项评审标准0-1分，满分2分； ⑤管理制度和协调方案：每一项评审标准0-1分，满分2分；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根据供应商针对本项目的质量保障措施，各部分内容全面详细、阐述条理清晰详尽、符合磋商文件要求。方案内容包含①质量问题分析；②保障措施；③产品的适用性和兼容性；④技术思路；⑤应急处理措施 。 二、评审标准 1、可实施性：方案须全面，对评审内容中的各项要求有详细描述及说明切合本标段实际情况，清晰、合理； 2、针对性：方案能够紧扣标段实际情况，内容科学合理。 三、赋分标准（满分10分） ①质量问题分析：每一项评审标准0-1分，满分2分； ②保障措施:每一项评审标准0-1分，满分2分； ③产品的适用性和兼容性:每一项评审标准0-1分，满分2分； ④ 技术思路：每一项评审标准0-1分，满分2分； ⑤应急处理措施：每一项评审标准0-1分，满分2分；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技术参数指标响应情况</w:t>
            </w:r>
          </w:p>
        </w:tc>
        <w:tc>
          <w:tcPr>
            <w:tcW w:type="dxa" w:w="2492"/>
          </w:tcPr>
          <w:p>
            <w:pPr>
              <w:pStyle w:val="null3"/>
            </w:pPr>
            <w:r>
              <w:rPr>
                <w:rFonts w:ascii="仿宋_GB2312" w:hAnsi="仿宋_GB2312" w:cs="仿宋_GB2312" w:eastAsia="仿宋_GB2312"/>
              </w:rPr>
              <w:t>根据各投标人所投系统功能(性能)及配置、对采购文件各项技术参数及配置要求的逐项响应情况及偏离表综合评定，供应商所投产品技术参数及配置要求均满足采购需求的得满分20分（有一项“▲”负偏离扣2分，其他技术要求一项负偏离扣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项目组成员</w:t>
            </w:r>
          </w:p>
        </w:tc>
        <w:tc>
          <w:tcPr>
            <w:tcW w:type="dxa" w:w="2492"/>
          </w:tcPr>
          <w:p>
            <w:pPr>
              <w:pStyle w:val="null3"/>
            </w:pPr>
            <w:r>
              <w:rPr>
                <w:rFonts w:ascii="仿宋_GB2312" w:hAnsi="仿宋_GB2312" w:cs="仿宋_GB2312" w:eastAsia="仿宋_GB2312"/>
              </w:rPr>
              <w:t>1、项目经理：投标人为本项目配置1名项目经理，需为大学本科及以上学历且具备不少于5年项目管理经验（项目管理经验从毕业时间开始计算）及PMP证书，得4分 2、投标人为本项目配置服务团队成员需具备中级或高级工程师职称，每提供一个成员得3分，最多得6分 （以上人员资质需提供相关证书复印件及近6个月内任意2个月的社保缴纳证明并加盖单位公章。）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根据供应商针对本项目的培训方案，各部分内容全面详细、阐述条理清晰详尽、符合磋商文件要求。方案内容包含①培训内容②培训方式③培训承诺书。 二、评审标准 1、可实施性：方案须全面，对评审内容中的各项要求有详细描述及说明切合本标段实际情况，清晰、合理； 2、针对性：方案能够紧扣标段实际情况，内容科学合理。 三、赋分标准（满分6分） ①培训内容：每一项评审标准0-1分，满分2分； ②培训方式:每一项评审标准0-1分，满分2分； ③培训承诺书:每一项评审标准0-1分，满分2分；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根据供应商针对本项目的售后服务方案，各部分内容全面详细、阐述条理清晰详尽、符合磋商文件要求。方案内容包含①内部管理制度；②操作规程；③后续服务；④保证措施。 二、评审标准 1、可实施性：方案须全面，对评审内容中的各项要求有详细描述及说明切合本标段实际情况，清晰、合理； 2、针对性：方案能够紧扣标段实际情况，内容科学合理。 三、赋分标准（满分8分） ①内部管理制度：每一项评审标准0-1分，满分2分； ②操作规程:每一项评审标准0-1分，满分2分； ③后续服务:每一项评审标准0-1分，满分2分； ④保证措施:每一项评审标准0-1分，满分2分；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系统检测报告</w:t>
            </w:r>
          </w:p>
        </w:tc>
        <w:tc>
          <w:tcPr>
            <w:tcW w:type="dxa" w:w="2492"/>
          </w:tcPr>
          <w:p>
            <w:pPr>
              <w:pStyle w:val="null3"/>
            </w:pPr>
            <w:r>
              <w:rPr>
                <w:rFonts w:ascii="仿宋_GB2312" w:hAnsi="仿宋_GB2312" w:cs="仿宋_GB2312" w:eastAsia="仿宋_GB2312"/>
              </w:rPr>
              <w:t>投标人或生产厂家提供所投产品相关检测报告得2分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2022年 1 月 1 日至今同类项目业绩（以合同复印件加盖公章为准），每提供1个有效业绩得1分，满分4分。同类项目是指与本项目采购内容相关的服务案例。</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供应商的价格分统一按照下列公式计算：投标报价得分=（评标基准价/投标报价）×价格权值×100。因本项目专门面向中小企业，不再进行小微企业价格扣除。</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详见附件：法定代表人授权委托书.pdf</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详见附件：承诺书.pdf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详见附件：西安市儿童医院拟签订服务合同格式.docx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