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04D1D">
      <w:pPr>
        <w:keepNext w:val="0"/>
        <w:keepLines w:val="0"/>
        <w:pageBreakBefore w:val="0"/>
        <w:widowControl w:val="0"/>
        <w:kinsoku/>
        <w:wordWrap/>
        <w:overflowPunct/>
        <w:topLinePunct w:val="0"/>
        <w:autoSpaceDE/>
        <w:autoSpaceDN/>
        <w:bidi w:val="0"/>
        <w:adjustRightInd/>
        <w:snapToGrid w:val="0"/>
        <w:ind w:firstLine="3213" w:firstLineChars="10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西安市第一医院供货合同</w:t>
      </w:r>
    </w:p>
    <w:p w14:paraId="772F23E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合同编号：</w:t>
      </w:r>
    </w:p>
    <w:p w14:paraId="6EE0BA7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签订地点：西安市第一医院（粉巷）</w:t>
      </w:r>
    </w:p>
    <w:p w14:paraId="5448E9A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采购人（甲方）：西安市第一医院</w:t>
      </w:r>
    </w:p>
    <w:p w14:paraId="3A3D59C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供应商（乙方）：</w:t>
      </w:r>
    </w:p>
    <w:p w14:paraId="06B9616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供应商规模：规模企业（大、中、小、微）</w:t>
      </w:r>
    </w:p>
    <w:p w14:paraId="7BBD83D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招标公司：</w:t>
      </w:r>
    </w:p>
    <w:p w14:paraId="17A4BC4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招标时间：年  月  日；         中标时间：年  月   日</w:t>
      </w:r>
    </w:p>
    <w:p w14:paraId="2E91A5F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履约结束日期：年  月  日（可视验收具体情况向后顺延）</w:t>
      </w:r>
    </w:p>
    <w:p w14:paraId="6B4B5FB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根据《中华人民共和国民法典》、《中华人民共和国政府采购法》及西安市第一医院医疗设备采购项目（项目编号及名称：）的《采购文件》、乙方的《响应文件》及《成交通知书》，甲、乙双方同意签订本合同。详细技术说明及其他有关合同项目的特定信息由合同附件予以说明，合同附件及本项目的采购文件、响应文件、《成交通知书》等均为本合同不可分割的部分。双方同意共同遵守如下条款：</w:t>
      </w:r>
    </w:p>
    <w:p w14:paraId="35B9DA4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一、合同货物（配置清单附后）</w:t>
      </w:r>
    </w:p>
    <w:tbl>
      <w:tblPr>
        <w:tblStyle w:val="10"/>
        <w:tblW w:w="94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9"/>
        <w:gridCol w:w="955"/>
        <w:gridCol w:w="764"/>
        <w:gridCol w:w="795"/>
        <w:gridCol w:w="676"/>
        <w:gridCol w:w="1080"/>
        <w:gridCol w:w="1110"/>
        <w:gridCol w:w="825"/>
        <w:gridCol w:w="814"/>
        <w:gridCol w:w="814"/>
        <w:gridCol w:w="814"/>
      </w:tblGrid>
      <w:tr w14:paraId="6B7AE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849" w:type="dxa"/>
            <w:tcBorders>
              <w:top w:val="single" w:color="auto" w:sz="4" w:space="0"/>
              <w:left w:val="single" w:color="auto" w:sz="4" w:space="0"/>
              <w:bottom w:val="single" w:color="auto" w:sz="4" w:space="0"/>
              <w:right w:val="single" w:color="auto" w:sz="4" w:space="0"/>
            </w:tcBorders>
            <w:noWrap w:val="0"/>
            <w:vAlign w:val="center"/>
          </w:tcPr>
          <w:p w14:paraId="0DA7B7F1">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货物品名</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48088327">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产地</w:t>
            </w:r>
          </w:p>
          <w:p w14:paraId="29E1D6BB">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szCs w:val="22"/>
                <w:highlight w:val="none"/>
              </w:rPr>
              <w:t>品牌</w:t>
            </w:r>
          </w:p>
        </w:tc>
        <w:tc>
          <w:tcPr>
            <w:tcW w:w="764" w:type="dxa"/>
            <w:tcBorders>
              <w:top w:val="single" w:color="auto" w:sz="4" w:space="0"/>
              <w:left w:val="single" w:color="auto" w:sz="4" w:space="0"/>
              <w:bottom w:val="single" w:color="auto" w:sz="4" w:space="0"/>
              <w:right w:val="single" w:color="auto" w:sz="4" w:space="0"/>
            </w:tcBorders>
            <w:noWrap w:val="0"/>
            <w:vAlign w:val="center"/>
          </w:tcPr>
          <w:p w14:paraId="1A92294B">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规格</w:t>
            </w:r>
          </w:p>
          <w:p w14:paraId="6B5FC0A6">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型号</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0BEA8467">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单位</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606E3FD7">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38B2ECF">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单价</w:t>
            </w:r>
          </w:p>
          <w:p w14:paraId="627574DF">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（万元）</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FBADC73">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总价</w:t>
            </w:r>
          </w:p>
          <w:p w14:paraId="20646C39">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（万元）</w:t>
            </w:r>
          </w:p>
        </w:tc>
        <w:tc>
          <w:tcPr>
            <w:tcW w:w="825" w:type="dxa"/>
            <w:tcBorders>
              <w:top w:val="single" w:color="auto" w:sz="4" w:space="0"/>
              <w:left w:val="single" w:color="auto" w:sz="4" w:space="0"/>
              <w:bottom w:val="single" w:color="auto" w:sz="4" w:space="0"/>
              <w:right w:val="single" w:color="auto" w:sz="4" w:space="0"/>
            </w:tcBorders>
            <w:noWrap w:val="0"/>
            <w:vAlign w:val="center"/>
          </w:tcPr>
          <w:p w14:paraId="741E64C9">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随机</w:t>
            </w:r>
          </w:p>
          <w:p w14:paraId="2FA49793">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配件</w:t>
            </w:r>
          </w:p>
        </w:tc>
        <w:tc>
          <w:tcPr>
            <w:tcW w:w="814" w:type="dxa"/>
            <w:tcBorders>
              <w:top w:val="single" w:color="auto" w:sz="4" w:space="0"/>
              <w:left w:val="single" w:color="auto" w:sz="4" w:space="0"/>
              <w:bottom w:val="single" w:color="auto" w:sz="4" w:space="0"/>
              <w:right w:val="single" w:color="auto" w:sz="4" w:space="0"/>
            </w:tcBorders>
            <w:noWrap w:val="0"/>
            <w:vAlign w:val="center"/>
          </w:tcPr>
          <w:p w14:paraId="5AEE5361">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交货期</w:t>
            </w:r>
          </w:p>
        </w:tc>
        <w:tc>
          <w:tcPr>
            <w:tcW w:w="814" w:type="dxa"/>
            <w:tcBorders>
              <w:top w:val="single" w:color="auto" w:sz="4" w:space="0"/>
              <w:left w:val="single" w:color="auto" w:sz="4" w:space="0"/>
              <w:bottom w:val="single" w:color="auto" w:sz="4" w:space="0"/>
              <w:right w:val="single" w:color="auto" w:sz="4" w:space="0"/>
            </w:tcBorders>
            <w:noWrap w:val="0"/>
            <w:vAlign w:val="top"/>
          </w:tcPr>
          <w:p w14:paraId="45F8DD32">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使用科室</w:t>
            </w:r>
          </w:p>
        </w:tc>
        <w:tc>
          <w:tcPr>
            <w:tcW w:w="814" w:type="dxa"/>
            <w:tcBorders>
              <w:top w:val="single" w:color="auto" w:sz="4" w:space="0"/>
              <w:left w:val="single" w:color="auto" w:sz="4" w:space="0"/>
              <w:bottom w:val="single" w:color="auto" w:sz="4" w:space="0"/>
              <w:right w:val="single" w:color="auto" w:sz="4" w:space="0"/>
            </w:tcBorders>
            <w:noWrap w:val="0"/>
            <w:vAlign w:val="top"/>
          </w:tcPr>
          <w:p w14:paraId="1F128B7A">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资金类型</w:t>
            </w:r>
          </w:p>
        </w:tc>
      </w:tr>
      <w:tr w14:paraId="428A0C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atLeast"/>
          <w:jc w:val="center"/>
        </w:trPr>
        <w:tc>
          <w:tcPr>
            <w:tcW w:w="849" w:type="dxa"/>
            <w:tcBorders>
              <w:top w:val="single" w:color="auto" w:sz="4" w:space="0"/>
              <w:left w:val="single" w:color="auto" w:sz="4" w:space="0"/>
              <w:bottom w:val="single" w:color="auto" w:sz="4" w:space="0"/>
              <w:right w:val="single" w:color="auto" w:sz="4" w:space="0"/>
            </w:tcBorders>
            <w:noWrap w:val="0"/>
            <w:vAlign w:val="center"/>
          </w:tcPr>
          <w:p w14:paraId="0D78085C">
            <w:pPr>
              <w:pStyle w:val="1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58890A3">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szCs w:val="22"/>
                <w:highlight w:val="none"/>
              </w:rPr>
            </w:pPr>
          </w:p>
        </w:tc>
        <w:tc>
          <w:tcPr>
            <w:tcW w:w="764" w:type="dxa"/>
            <w:tcBorders>
              <w:top w:val="single" w:color="auto" w:sz="4" w:space="0"/>
              <w:left w:val="single" w:color="auto" w:sz="4" w:space="0"/>
              <w:bottom w:val="single" w:color="auto" w:sz="4" w:space="0"/>
              <w:right w:val="single" w:color="auto" w:sz="4" w:space="0"/>
            </w:tcBorders>
            <w:noWrap w:val="0"/>
            <w:vAlign w:val="center"/>
          </w:tcPr>
          <w:p w14:paraId="184E7AE0">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161A03DF">
            <w:pPr>
              <w:keepNext w:val="0"/>
              <w:keepLines w:val="0"/>
              <w:pageBreakBefore w:val="0"/>
              <w:widowControl w:val="0"/>
              <w:kinsoku/>
              <w:wordWrap/>
              <w:overflowPunct/>
              <w:topLinePunct w:val="0"/>
              <w:autoSpaceDE/>
              <w:autoSpaceDN/>
              <w:bidi w:val="0"/>
              <w:adjustRightInd/>
              <w:snapToGrid w:val="0"/>
              <w:spacing w:before="0" w:after="0" w:line="240" w:lineRule="auto"/>
              <w:ind w:firstLine="105" w:firstLineChars="50"/>
              <w:jc w:val="center"/>
              <w:textAlignment w:val="auto"/>
              <w:rPr>
                <w:rFonts w:hint="eastAsia" w:ascii="仿宋" w:hAnsi="仿宋" w:eastAsia="仿宋" w:cs="仿宋"/>
                <w:highlight w:val="none"/>
              </w:rPr>
            </w:pPr>
          </w:p>
        </w:tc>
        <w:tc>
          <w:tcPr>
            <w:tcW w:w="676" w:type="dxa"/>
            <w:tcBorders>
              <w:top w:val="single" w:color="auto" w:sz="4" w:space="0"/>
              <w:left w:val="single" w:color="auto" w:sz="4" w:space="0"/>
              <w:bottom w:val="single" w:color="auto" w:sz="4" w:space="0"/>
              <w:right w:val="single" w:color="auto" w:sz="4" w:space="0"/>
            </w:tcBorders>
            <w:noWrap w:val="0"/>
            <w:vAlign w:val="center"/>
          </w:tcPr>
          <w:p w14:paraId="5942FD41">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 xml:space="preserve"> </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C002489">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 xml:space="preserve"> </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CBD6BB">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 xml:space="preserve"> </w:t>
            </w:r>
          </w:p>
        </w:tc>
        <w:tc>
          <w:tcPr>
            <w:tcW w:w="825" w:type="dxa"/>
            <w:tcBorders>
              <w:top w:val="single" w:color="auto" w:sz="4" w:space="0"/>
              <w:left w:val="single" w:color="auto" w:sz="4" w:space="0"/>
              <w:right w:val="single" w:color="auto" w:sz="4" w:space="0"/>
            </w:tcBorders>
            <w:noWrap w:val="0"/>
            <w:vAlign w:val="center"/>
          </w:tcPr>
          <w:p w14:paraId="1CD9C803">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详见配置清单</w:t>
            </w:r>
          </w:p>
        </w:tc>
        <w:tc>
          <w:tcPr>
            <w:tcW w:w="814" w:type="dxa"/>
            <w:tcBorders>
              <w:top w:val="single" w:color="auto" w:sz="4" w:space="0"/>
              <w:left w:val="single" w:color="auto" w:sz="4" w:space="0"/>
              <w:right w:val="single" w:color="auto" w:sz="4" w:space="0"/>
            </w:tcBorders>
            <w:noWrap w:val="0"/>
            <w:vAlign w:val="center"/>
          </w:tcPr>
          <w:p w14:paraId="40D3F6A5">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合同签订后</w:t>
            </w:r>
            <w:r>
              <w:rPr>
                <w:rFonts w:hint="eastAsia" w:ascii="仿宋" w:hAnsi="仿宋" w:eastAsia="仿宋" w:cs="仿宋"/>
                <w:color w:val="FF0000"/>
                <w:highlight w:val="none"/>
              </w:rPr>
              <w:t>XX</w:t>
            </w:r>
            <w:r>
              <w:rPr>
                <w:rFonts w:hint="eastAsia" w:ascii="仿宋" w:hAnsi="仿宋" w:eastAsia="仿宋" w:cs="仿宋"/>
                <w:highlight w:val="none"/>
              </w:rPr>
              <w:t>个日历日内</w:t>
            </w:r>
          </w:p>
        </w:tc>
        <w:tc>
          <w:tcPr>
            <w:tcW w:w="814" w:type="dxa"/>
            <w:tcBorders>
              <w:top w:val="single" w:color="auto" w:sz="4" w:space="0"/>
              <w:left w:val="single" w:color="auto" w:sz="4" w:space="0"/>
              <w:right w:val="single" w:color="auto" w:sz="4" w:space="0"/>
            </w:tcBorders>
            <w:noWrap w:val="0"/>
            <w:vAlign w:val="top"/>
          </w:tcPr>
          <w:p w14:paraId="654B54A9">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p>
        </w:tc>
        <w:tc>
          <w:tcPr>
            <w:tcW w:w="814" w:type="dxa"/>
            <w:tcBorders>
              <w:top w:val="single" w:color="auto" w:sz="4" w:space="0"/>
              <w:left w:val="single" w:color="auto" w:sz="4" w:space="0"/>
              <w:right w:val="single" w:color="auto" w:sz="4" w:space="0"/>
            </w:tcBorders>
            <w:noWrap w:val="0"/>
            <w:vAlign w:val="top"/>
          </w:tcPr>
          <w:p w14:paraId="2C4ED6CF">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p>
        </w:tc>
      </w:tr>
      <w:tr w14:paraId="7A88A8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849" w:type="dxa"/>
            <w:tcBorders>
              <w:top w:val="single" w:color="auto" w:sz="4" w:space="0"/>
              <w:left w:val="single" w:color="auto" w:sz="4" w:space="0"/>
              <w:bottom w:val="single" w:color="auto" w:sz="4" w:space="0"/>
              <w:right w:val="single" w:color="auto" w:sz="4" w:space="0"/>
            </w:tcBorders>
            <w:noWrap w:val="0"/>
            <w:vAlign w:val="center"/>
          </w:tcPr>
          <w:p w14:paraId="71C55B25">
            <w:pPr>
              <w:keepNext w:val="0"/>
              <w:keepLines w:val="0"/>
              <w:pageBreakBefore w:val="0"/>
              <w:widowControl w:val="0"/>
              <w:kinsoku/>
              <w:wordWrap/>
              <w:overflowPunct/>
              <w:topLinePunct w:val="0"/>
              <w:autoSpaceDE/>
              <w:autoSpaceDN/>
              <w:bidi w:val="0"/>
              <w:adjustRightInd/>
              <w:snapToGrid w:val="0"/>
              <w:spacing w:before="0" w:after="0" w:line="240" w:lineRule="auto"/>
              <w:ind w:firstLine="0"/>
              <w:jc w:val="center"/>
              <w:textAlignment w:val="auto"/>
              <w:rPr>
                <w:rFonts w:hint="eastAsia" w:ascii="仿宋" w:hAnsi="仿宋" w:eastAsia="仿宋" w:cs="仿宋"/>
                <w:highlight w:val="none"/>
              </w:rPr>
            </w:pPr>
            <w:r>
              <w:rPr>
                <w:rFonts w:hint="eastAsia" w:ascii="仿宋" w:hAnsi="仿宋" w:eastAsia="仿宋" w:cs="仿宋"/>
                <w:highlight w:val="none"/>
              </w:rPr>
              <w:t>合计</w:t>
            </w:r>
          </w:p>
        </w:tc>
        <w:tc>
          <w:tcPr>
            <w:tcW w:w="7019" w:type="dxa"/>
            <w:gridSpan w:val="8"/>
            <w:tcBorders>
              <w:top w:val="single" w:color="auto" w:sz="4" w:space="0"/>
              <w:left w:val="single" w:color="auto" w:sz="4" w:space="0"/>
              <w:bottom w:val="single" w:color="auto" w:sz="4" w:space="0"/>
              <w:right w:val="single" w:color="auto" w:sz="4" w:space="0"/>
            </w:tcBorders>
            <w:noWrap w:val="0"/>
            <w:vAlign w:val="center"/>
          </w:tcPr>
          <w:p w14:paraId="3BC19A28">
            <w:pPr>
              <w:keepNext w:val="0"/>
              <w:keepLines w:val="0"/>
              <w:pageBreakBefore w:val="0"/>
              <w:widowControl w:val="0"/>
              <w:kinsoku/>
              <w:wordWrap/>
              <w:overflowPunct/>
              <w:topLinePunct w:val="0"/>
              <w:autoSpaceDE/>
              <w:autoSpaceDN/>
              <w:bidi w:val="0"/>
              <w:adjustRightInd/>
              <w:snapToGrid w:val="0"/>
              <w:spacing w:before="0" w:after="0" w:line="240" w:lineRule="auto"/>
              <w:ind w:firstLine="0"/>
              <w:textAlignment w:val="auto"/>
              <w:rPr>
                <w:rFonts w:hint="eastAsia"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元）</w:t>
            </w:r>
          </w:p>
        </w:tc>
        <w:tc>
          <w:tcPr>
            <w:tcW w:w="814" w:type="dxa"/>
            <w:tcBorders>
              <w:top w:val="single" w:color="auto" w:sz="4" w:space="0"/>
              <w:left w:val="single" w:color="auto" w:sz="4" w:space="0"/>
              <w:bottom w:val="single" w:color="auto" w:sz="4" w:space="0"/>
              <w:right w:val="single" w:color="auto" w:sz="4" w:space="0"/>
            </w:tcBorders>
            <w:noWrap w:val="0"/>
            <w:vAlign w:val="top"/>
          </w:tcPr>
          <w:p w14:paraId="39967146">
            <w:pPr>
              <w:keepNext w:val="0"/>
              <w:keepLines w:val="0"/>
              <w:pageBreakBefore w:val="0"/>
              <w:widowControl w:val="0"/>
              <w:kinsoku/>
              <w:wordWrap/>
              <w:overflowPunct/>
              <w:topLinePunct w:val="0"/>
              <w:autoSpaceDE/>
              <w:autoSpaceDN/>
              <w:bidi w:val="0"/>
              <w:adjustRightInd/>
              <w:snapToGrid w:val="0"/>
              <w:spacing w:before="0" w:after="0" w:line="240" w:lineRule="auto"/>
              <w:ind w:firstLine="0"/>
              <w:textAlignment w:val="auto"/>
              <w:rPr>
                <w:rFonts w:hint="eastAsia" w:ascii="仿宋" w:hAnsi="仿宋" w:eastAsia="仿宋" w:cs="仿宋"/>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7805FF04">
            <w:pPr>
              <w:keepNext w:val="0"/>
              <w:keepLines w:val="0"/>
              <w:pageBreakBefore w:val="0"/>
              <w:widowControl w:val="0"/>
              <w:kinsoku/>
              <w:wordWrap/>
              <w:overflowPunct/>
              <w:topLinePunct w:val="0"/>
              <w:autoSpaceDE/>
              <w:autoSpaceDN/>
              <w:bidi w:val="0"/>
              <w:adjustRightInd/>
              <w:snapToGrid w:val="0"/>
              <w:spacing w:before="0" w:after="0" w:line="240" w:lineRule="auto"/>
              <w:ind w:firstLine="0"/>
              <w:textAlignment w:val="auto"/>
              <w:rPr>
                <w:rFonts w:hint="eastAsia" w:ascii="仿宋" w:hAnsi="仿宋" w:eastAsia="仿宋" w:cs="仿宋"/>
                <w:highlight w:val="none"/>
              </w:rPr>
            </w:pPr>
          </w:p>
        </w:tc>
      </w:tr>
    </w:tbl>
    <w:p w14:paraId="07060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二、合同总价</w:t>
      </w:r>
    </w:p>
    <w:p w14:paraId="65ED31D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合同总价为人民币大写：，即RMB¥元；该合同总价已包括货物生产、包装、运输、安装、调试、检测、培训、验收合格交付使用之前及保修期内保修服务与备用物件等所有其它有关各项的含税费用。本合同执行期间合同总价不变，甲方无须另向乙方支付本合同规定之外的其他任何费用。</w:t>
      </w:r>
    </w:p>
    <w:p w14:paraId="1E67824F">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bCs/>
          <w:sz w:val="28"/>
          <w:szCs w:val="28"/>
          <w:highlight w:val="none"/>
          <w:lang w:val="en-US" w:eastAsia="zh-CN"/>
        </w:rPr>
        <w:t>三、交货地点：</w:t>
      </w:r>
      <w:r>
        <w:rPr>
          <w:rFonts w:hint="eastAsia" w:ascii="仿宋" w:hAnsi="仿宋" w:eastAsia="仿宋" w:cs="仿宋"/>
          <w:b w:val="0"/>
          <w:bCs w:val="0"/>
          <w:sz w:val="28"/>
          <w:szCs w:val="28"/>
          <w:highlight w:val="none"/>
          <w:lang w:val="en-US" w:eastAsia="zh-CN"/>
        </w:rPr>
        <w:t>西安市第一医院（甲方指定地点）</w:t>
      </w:r>
    </w:p>
    <w:p w14:paraId="79A12B6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注意：包装箱及拆箱、安装和调试产生的垃圾由乙方带出院外自行处理。</w:t>
      </w:r>
    </w:p>
    <w:p w14:paraId="6ACA126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四、质量要求</w:t>
      </w:r>
    </w:p>
    <w:p w14:paraId="1B1006A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1、乙方须提供全新的货物（含零部件、配件等），表面无划伤、无碰撞痕迹，且权属清楚，不得侵害他人的知识产权。</w:t>
      </w:r>
    </w:p>
    <w:p w14:paraId="10B0544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2、货物必须符合或优于国家（行业）标准，以及本项目采购标文件的质量要求和技术指标与出厂标准。</w:t>
      </w:r>
    </w:p>
    <w:p w14:paraId="5E07376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3、货物质量出现问题，乙方应在三日内负责包换或包退，产生的费用由乙方负担，甲方有权监督质询乙方提供的货物质量和生产、运输进度。</w:t>
      </w:r>
    </w:p>
    <w:p w14:paraId="5CFB8D4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4、货到现场后由于甲方保管不当影响货物质量或被损坏，乙方应负责维修或更换被损坏的部件，因此产生的费用由甲方负担。</w:t>
      </w:r>
    </w:p>
    <w:p w14:paraId="216543F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5、因乙方所供设备质量问题引发的一切纠纷及损失由乙方承担责任，给甲方造成损失的乙方应当承担赔偿责任。</w:t>
      </w:r>
    </w:p>
    <w:p w14:paraId="361659B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五、交货及验收</w:t>
      </w:r>
    </w:p>
    <w:p w14:paraId="01CA609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乙方交货期限为合同签订生效后的XX日内，在合同签订生效之日起XX天内交货到甲方指定地点，乙方应在3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00380B0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2、验收由甲方组织，乙方配合进行：</w:t>
      </w:r>
    </w:p>
    <w:p w14:paraId="6A872EA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(1)货物在乙方通知安装调试完毕后3日内初步验收。初步验收合格后，进入15日试用期；试用期间发生重大质量问题，按照合同条款第四项之第3条处理，试用期相应顺延；试用期结束后3日内完成最终验收；</w:t>
      </w:r>
    </w:p>
    <w:p w14:paraId="18DEEF8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验收标准：按国家有关规定以及甲方采购文件的质量要求和技术指标、乙方的响应文件及承诺与本合同约定标准进行验收；甲乙双方如对质量要求和技术指标的约定标准有相互抵触或异议的事项，由甲方在招标与响应文件中按质量要求和技术指标比较优胜的原则确定该项的约定标准进行验收；</w:t>
      </w:r>
    </w:p>
    <w:p w14:paraId="6583BDB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740EAD4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(4)如质量验收合格，双方签署质量验收报告，作为双方最终结算的依据。</w:t>
      </w:r>
    </w:p>
    <w:p w14:paraId="51C897F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3、货物安装完成后3日内，甲方无故不进行验收工作并已使用货物的，视同已安装调试完成并初步验收合格。</w:t>
      </w:r>
    </w:p>
    <w:p w14:paraId="11148BC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乙方应将所提供货物的装箱清单、配件、随机工具、用户使用手册、原厂保修卡等资料在交货的同时交付给甲方；乙方不能完整交付货物及本款规定的单证或工具等约定的资料的，必须负责补齐，否则视为未按合同约定交货。</w:t>
      </w:r>
    </w:p>
    <w:p w14:paraId="6F981FD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5、如货物质量有问题，经甲方同意乙方2次维修仍不能达到合同约定的质量标准，甲方有权退货，并视作乙方不能交付货物而须支付违约赔偿金给甲方，甲方还可依法追究乙方的违约责任。</w:t>
      </w:r>
    </w:p>
    <w:p w14:paraId="644D3527">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六、培训和保养</w:t>
      </w:r>
    </w:p>
    <w:p w14:paraId="45E55F6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乙方以多种方式负责向甲方培训设备的使用操作和维护保养工作，直到熟练掌握为止。甲方负责考核培训结果以决定是否需要再培训。乙方接到甲方培训通知后3日内安排再培训。</w:t>
      </w:r>
    </w:p>
    <w:p w14:paraId="30ECDB00">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七、付款方式</w:t>
      </w:r>
    </w:p>
    <w:p w14:paraId="3403FDA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货到安装验收合格并经15天试用期满符合合同约定的质量标准要求，经产品最终验收合格后，达到付款条件起30日内，支付合同总金额人民币（大写）：xxx元整（¥***.00）.计划支付日期约为年月日（可视具体情况向后顺延）。</w:t>
      </w:r>
    </w:p>
    <w:p w14:paraId="22D39B5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2、乙方应当在甲方付款前向甲方出具正式增值税普通发票。乙方未按照约定提供发票的，甲方有权拒付相关款项，由此造成的损失由乙方负责。</w:t>
      </w:r>
    </w:p>
    <w:p w14:paraId="663C6F2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八、售后服务</w:t>
      </w:r>
    </w:p>
    <w:p w14:paraId="2D101A8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依据响应文件的响应，设备质保期为验收合格后1年或扫15万秒次，先到为准。（出具厂家提供的一年质保证明），质保期内出现质量问题，乙方在接到甲方通知后2小时内响应，8小时内到达现场明确解决方案，48小时内备件到场。质保期一年内货物经乙方2次维修仍达不到合同约定的质量标准时，视作乙方货物质量不符合合同约定，甲方有权退货并追究乙方违约责任。货到现场后由于甲方保管不当造成的问题，乙方亦应负责修复，但费用由甲方负担。</w:t>
      </w:r>
    </w:p>
    <w:p w14:paraId="61DC42D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2、乙方应依据货物《采购文 件》的《商务要求》中技术保障和服务保障，执行乙方《响应文件》的“响应”内容；</w:t>
      </w:r>
    </w:p>
    <w:p w14:paraId="69D9282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3、乙方须指派专人负责与甲方联系售后服务事宜。</w:t>
      </w:r>
    </w:p>
    <w:p w14:paraId="7C1DD72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甲方联系人及电话：</w:t>
      </w:r>
    </w:p>
    <w:p w14:paraId="6EE206C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乙方法定代表人及负责人姓名及联系电话：法定代表人：</w:t>
      </w:r>
    </w:p>
    <w:p w14:paraId="38CC971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负责人：</w:t>
      </w:r>
    </w:p>
    <w:p w14:paraId="42B75524">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九、违约责任</w:t>
      </w:r>
    </w:p>
    <w:p w14:paraId="3AE92E1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1、甲方违约责任</w:t>
      </w:r>
    </w:p>
    <w:p w14:paraId="52409C7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（1）甲方无正当理由拒收货物的，甲方应偿付合同总价百分之五的违约金；</w:t>
      </w:r>
    </w:p>
    <w:p w14:paraId="6AEE364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（2）甲方逾期支付货款的，除应及时付足货款外，应按照银行同期贷款利率承担利息。逾期付款超过15天的，乙方有权终止合同；</w:t>
      </w:r>
    </w:p>
    <w:p w14:paraId="1B8314F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2、乙方违约责任</w:t>
      </w:r>
    </w:p>
    <w:p w14:paraId="1A7D1ED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乙方交付的货物质量不符合合同规定的，乙方应向甲方支付合同总价百分之五的违约金，并须在合同规定的交货时间内更换合格的货物给甲方，否则，视作乙方不能交付货物而违约，按本条本款下述第“（2）”项规定由乙方偿付违约赔偿金给甲方。</w:t>
      </w:r>
    </w:p>
    <w:p w14:paraId="1A35321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乙方不能交付货物或逾期交付货物而违约的，除应及时交足货物外，还应向甲方偿付逾期交货部分货款总额万分之五/天的违约金；逾期交货超过7天，甲方有权终止合同，乙方则应按合同总价百分之五的款额向甲方偿付赔偿金，并须在三日内全额退还甲方已经付给乙方的货款及其利息，同时甲方有权将乙方违约事宜上报至财政监督管理部门备案。</w:t>
      </w:r>
    </w:p>
    <w:p w14:paraId="2B9C96F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乙方货物经甲方送交具有法定资格条件的质量技术监督机构检测后，如检测结果认定货物质量不符合本合同规定标准的，则视为乙方没有按时交货而违约，乙方须在7天内无条件更换合格的货物，如逾期不能更换合格的货物，甲方有权终止本合同，乙方应另付合同总价的百分之一的赔偿金给甲方。</w:t>
      </w:r>
    </w:p>
    <w:p w14:paraId="3D3EA9E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一向甲方支付违约金并赔偿因此给甲方造成的一切损失。</w:t>
      </w:r>
    </w:p>
    <w:p w14:paraId="6780333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（5）乙方在不能按照本合同第九条的约定时间提供售后服务，每逾期一次，按照合同总价款的1%向甲方支付违约金。</w:t>
      </w:r>
    </w:p>
    <w:p w14:paraId="5A130D9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十、争议解决办法</w:t>
      </w:r>
    </w:p>
    <w:p w14:paraId="02E501E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1、因货物的质量问题发生争议，可委托质量技术监督部门或其指定的质量鉴定机构进行质量鉴定。货物符合标准的，鉴定费由甲方承担；货物不符合质量标准的，鉴定费由乙方承担。</w:t>
      </w:r>
    </w:p>
    <w:p w14:paraId="2314383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2、合同履行期间,若双方发生争议，可协商或由有关部门调解解决，协商或调解不成的，提交西安市第一医院所在地人民法院诉讼解决。</w:t>
      </w:r>
    </w:p>
    <w:p w14:paraId="0927CB78">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十一、其他</w:t>
      </w:r>
    </w:p>
    <w:p w14:paraId="70F9B84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1、如有未尽事宜，由双方依法订立补充合同，补充合同与本合同具有同等法律效力。</w:t>
      </w:r>
    </w:p>
    <w:p w14:paraId="7FC8376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2、本合同一式七份，甲方五份，乙方一份，采购代理机构一份，效力相同，自双方签章盖章之日起生效。</w:t>
      </w:r>
    </w:p>
    <w:p w14:paraId="000583D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3、货物交付前的风险由乙方承担。</w:t>
      </w:r>
    </w:p>
    <w:p w14:paraId="284B160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4、本合同项下地址为有效的通讯地址，一方变更应当书面通知相对方，未通知视为未变更，一方所发的文件通知等寄出或在《西安晚报》上公示即视为送达，产生相应的法律后果。</w:t>
      </w:r>
    </w:p>
    <w:p w14:paraId="609DB12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（以下无正文）</w:t>
      </w:r>
    </w:p>
    <w:p w14:paraId="5B5DE895">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br w:type="page"/>
      </w:r>
    </w:p>
    <w:p w14:paraId="12554B5F">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甲方：西安市第一医院（盖章）                乙方：（盖章）</w:t>
      </w:r>
    </w:p>
    <w:p w14:paraId="4609E31D">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开户行：中国工商银行西安南大街支行           开户行：</w:t>
      </w:r>
    </w:p>
    <w:p w14:paraId="50C20660">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账号：3700020409089344018                   银行账号：</w:t>
      </w:r>
    </w:p>
    <w:p w14:paraId="444E104B">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地址：西安市南大街粉巷30号                    地址：</w:t>
      </w:r>
    </w:p>
    <w:p w14:paraId="65079546">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邮政编码：710002                            邮政编码：</w:t>
      </w:r>
    </w:p>
    <w:p w14:paraId="2CBB9B81">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电话：029-87630929                          电话：</w:t>
      </w:r>
    </w:p>
    <w:p w14:paraId="200E0992">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法定代表人（授权代表）：               法定代表人（授权代表）：</w:t>
      </w:r>
    </w:p>
    <w:p w14:paraId="3060808D">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签订日期：年月日                     签订日期：年月日</w:t>
      </w:r>
    </w:p>
    <w:p w14:paraId="226F6D69">
      <w:pPr>
        <w:rPr>
          <w:rFonts w:hint="eastAsia" w:ascii="仿宋" w:hAnsi="仿宋" w:eastAsia="仿宋" w:cs="仿宋"/>
          <w:b w:val="0"/>
          <w:bCs w:val="0"/>
          <w:sz w:val="28"/>
          <w:szCs w:val="28"/>
          <w:highlight w:val="none"/>
          <w:lang w:val="en-US" w:eastAsia="zh-CN"/>
        </w:rPr>
      </w:pPr>
    </w:p>
    <w:p w14:paraId="3C6D39C6">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鉴证方（业务专用章）：</w:t>
      </w:r>
    </w:p>
    <w:p w14:paraId="50D01C6A">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单位名称：</w:t>
      </w:r>
    </w:p>
    <w:p w14:paraId="2495C588">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地址：</w:t>
      </w:r>
    </w:p>
    <w:p w14:paraId="3A866302">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代理人（签字）：</w:t>
      </w:r>
    </w:p>
    <w:p w14:paraId="5F401F86">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联系电话：</w:t>
      </w:r>
    </w:p>
    <w:p w14:paraId="24D5A603">
      <w:pPr>
        <w:rPr>
          <w:rFonts w:hint="eastAsia" w:ascii="仿宋" w:hAnsi="仿宋" w:eastAsia="仿宋" w:cs="仿宋"/>
          <w:b w:val="0"/>
          <w:bCs w:val="0"/>
          <w:sz w:val="28"/>
          <w:szCs w:val="28"/>
          <w:highlight w:val="none"/>
          <w:lang w:val="en-US" w:eastAsia="zh-CN"/>
        </w:rPr>
      </w:pPr>
    </w:p>
    <w:p w14:paraId="47659B52">
      <w:pPr>
        <w:rPr>
          <w:rFonts w:hint="eastAsia" w:ascii="仿宋" w:hAnsi="仿宋" w:eastAsia="仿宋" w:cs="仿宋"/>
          <w:b w:val="0"/>
          <w:bCs w:val="0"/>
          <w:sz w:val="28"/>
          <w:szCs w:val="28"/>
          <w:highlight w:val="none"/>
          <w:lang w:val="en-US" w:eastAsia="zh-CN"/>
        </w:rPr>
      </w:pPr>
    </w:p>
    <w:p w14:paraId="76D82805">
      <w:pPr>
        <w:rPr>
          <w:rFonts w:hint="eastAsia" w:ascii="仿宋" w:hAnsi="仿宋" w:eastAsia="仿宋" w:cs="仿宋"/>
          <w:b w:val="0"/>
          <w:bCs w:val="0"/>
          <w:sz w:val="28"/>
          <w:szCs w:val="28"/>
          <w:highlight w:val="none"/>
          <w:lang w:val="en-US" w:eastAsia="zh-CN"/>
        </w:rPr>
      </w:pPr>
    </w:p>
    <w:p w14:paraId="46819E76">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附件一：配置清单</w:t>
      </w:r>
    </w:p>
    <w:p w14:paraId="2D7CC2F6">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序号产品名称型号数量单位</w:t>
      </w:r>
    </w:p>
    <w:p w14:paraId="722968D1">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附件二：营业执照、法人授权委托书、受托人/法人身份证复印件</w:t>
      </w:r>
    </w:p>
    <w:p w14:paraId="4B7E0FEB">
      <w:pPr>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附件三：厂家提供的质保证明和质保内容</w:t>
      </w:r>
      <w:bookmarkStart w:id="0" w:name="_GoBack"/>
      <w:bookmarkEnd w:id="0"/>
    </w:p>
    <w:p w14:paraId="29983F25"/>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64DAB"/>
    <w:rsid w:val="11445362"/>
    <w:rsid w:val="19436102"/>
    <w:rsid w:val="19A53A6C"/>
    <w:rsid w:val="1FF17CBA"/>
    <w:rsid w:val="24AA2336"/>
    <w:rsid w:val="4AE301E8"/>
    <w:rsid w:val="4B2B3E60"/>
    <w:rsid w:val="4C6A25EE"/>
    <w:rsid w:val="5BF20DC3"/>
    <w:rsid w:val="760555E1"/>
    <w:rsid w:val="7CC64D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Body Text"/>
    <w:basedOn w:val="1"/>
    <w:qFormat/>
    <w:uiPriority w:val="0"/>
    <w:rPr>
      <w:sz w:val="24"/>
    </w:rPr>
  </w:style>
  <w:style w:type="paragraph" w:styleId="6">
    <w:name w:val="Body Text Indent"/>
    <w:basedOn w:val="1"/>
    <w:next w:val="7"/>
    <w:qFormat/>
    <w:uiPriority w:val="0"/>
    <w:pPr>
      <w:spacing w:line="640" w:lineRule="exact"/>
      <w:ind w:firstLine="585"/>
    </w:pPr>
    <w:rPr>
      <w:rFonts w:ascii="楷体_GB2312" w:eastAsia="楷体_GB2312"/>
      <w:sz w:val="32"/>
    </w:rPr>
  </w:style>
  <w:style w:type="paragraph" w:styleId="7">
    <w:name w:val="envelope return"/>
    <w:basedOn w:val="1"/>
    <w:qFormat/>
    <w:uiPriority w:val="99"/>
    <w:pPr>
      <w:snapToGrid w:val="0"/>
    </w:pPr>
    <w:rPr>
      <w:rFonts w:ascii="Arial" w:hAnsi="Arial" w:cs="Arial"/>
    </w:rPr>
  </w:style>
  <w:style w:type="paragraph" w:styleId="8">
    <w:name w:val="Body Text First Indent"/>
    <w:basedOn w:val="5"/>
    <w:next w:val="9"/>
    <w:unhideWhenUsed/>
    <w:qFormat/>
    <w:uiPriority w:val="99"/>
    <w:pPr>
      <w:ind w:firstLine="420" w:firstLineChars="100"/>
    </w:pPr>
    <w:rPr>
      <w:szCs w:val="24"/>
    </w:rPr>
  </w:style>
  <w:style w:type="paragraph" w:styleId="9">
    <w:name w:val="Body Text First Indent 2"/>
    <w:basedOn w:val="6"/>
    <w:next w:val="8"/>
    <w:qFormat/>
    <w:uiPriority w:val="0"/>
    <w:pPr>
      <w:ind w:firstLine="420" w:firstLineChars="200"/>
    </w:pPr>
  </w:style>
  <w:style w:type="paragraph" w:customStyle="1" w:styleId="12">
    <w:name w:val="正文首行缩进两字符"/>
    <w:basedOn w:val="1"/>
    <w:qFormat/>
    <w:uiPriority w:val="0"/>
    <w:pPr>
      <w:spacing w:line="360" w:lineRule="auto"/>
      <w:ind w:firstLine="200" w:firstLineChars="200"/>
    </w:pPr>
    <w:rPr>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3319</Words>
  <Characters>3367</Characters>
  <Lines>0</Lines>
  <Paragraphs>0</Paragraphs>
  <TotalTime>0</TotalTime>
  <ScaleCrop>false</ScaleCrop>
  <LinksUpToDate>false</LinksUpToDate>
  <CharactersWithSpaces>3475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2025-07-24T06:57:00Z</dcterms:created>
  <dc:creator>陕西笃信招标有限公司</dc:creator>
  <cp:lastModifiedBy>陕西笃信招标有限公司</cp:lastModifiedBy>
  <dcterms:modified xsi:type="dcterms:W3CDTF">2025-08-01T02:13:42Z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99856B074FA742C5BF1F02CA6880D1B5_13</vt:lpwstr>
  </property>
  <property fmtid="{D5CDD505-2E9C-101B-9397-08002B2CF9AE}" pid="4" name="KSOTemplateDocerSaveRecord">
    <vt:lpwstr>eyJoZGlkIjoiNzg2YzQ2Nzk4M2IwOWVlMWU4NjljZTZlNTRmMjFkNDkiLCJ1c2VySWQiOiI5MTQ3Njg1NjkifQ==</vt:lpwstr>
  </property>
</Properties>
</file>