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版本号：ZYJY-【2025】GK0638.1B120250801001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医用气体供应项目(二次)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ZYJY-【2025】GK0638.1B1</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陕西知源集易招标代理有限公司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陕西知源集易招标代理有限公司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医用气体供应项目(二次)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ZYJY-【2025】GK0638.1B1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医用气体供应项目(二次)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西安市第五医院医用气体供应项目，全院各病区钢瓶氧气、二氧化碳、液氮、混合气、液态氧气的配送灌装，如医院出现紧急情况时，应配合医院情况配送相应数量的应急气体。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2、授权书：提供法定代表人授权书（附法定代表人、被授权人身份证复印件）及被授权人身份证原件（法定代表人直接参加投标，须提供法定代表人身份证明及身份证原件）；</w:t>
      </w:r>
    </w:p>
    <w:p>
      <w:pPr>
        <w:pStyle w:val="null3"/>
      </w:pPr>
      <w:r>
        <w:rPr>
          <w:rFonts w:ascii="仿宋_GB2312" w:hAnsi="仿宋_GB2312" w:cs="仿宋_GB2312" w:eastAsia="仿宋_GB2312"/>
        </w:rPr>
        <w:t>3、财务状况报告：提供2024年度完整版的财务审计报告，成立时间至提交投标文件截止时间不足一年的可提供成立后任意时段的资产负债表，或投标时间前六个月内基本账户银行出具的资信证明；</w:t>
      </w:r>
    </w:p>
    <w:p>
      <w:pPr>
        <w:pStyle w:val="null3"/>
      </w:pPr>
      <w:r>
        <w:rPr>
          <w:rFonts w:ascii="仿宋_GB2312" w:hAnsi="仿宋_GB2312" w:cs="仿宋_GB2312" w:eastAsia="仿宋_GB2312"/>
        </w:rPr>
        <w:t>4、税收缴纳证明：提供投标截止之日前一年内已缴纳的至少三个月的纳税证明或完税证明（任意税种），依法免税的单位应提供相关证明材料；</w:t>
      </w:r>
    </w:p>
    <w:p>
      <w:pPr>
        <w:pStyle w:val="null3"/>
      </w:pPr>
      <w:r>
        <w:rPr>
          <w:rFonts w:ascii="仿宋_GB2312" w:hAnsi="仿宋_GB2312" w:cs="仿宋_GB2312" w:eastAsia="仿宋_GB2312"/>
        </w:rPr>
        <w:t>5、社会保障资金缴纳证明：提供投标截止之日前一年内已缴存的至少三个月的社会保障资金缴存单据或社保机构开具的社会保险参保缴费情况证明，依法不需要缴纳社会保障资金的单位应提供相关证明材料；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6、专业技术能力说明：提供具有履行本合同所必需的设备和专业技术能力的说明及承诺书；</w:t>
      </w:r>
    </w:p>
    <w:p>
      <w:pPr>
        <w:pStyle w:val="null3"/>
      </w:pPr>
      <w:r>
        <w:rPr>
          <w:rFonts w:ascii="仿宋_GB2312" w:hAnsi="仿宋_GB2312" w:cs="仿宋_GB2312" w:eastAsia="仿宋_GB2312"/>
        </w:rPr>
        <w:t>7、信用记录：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p>
      <w:pPr>
        <w:pStyle w:val="null3"/>
      </w:pPr>
      <w:r>
        <w:rPr>
          <w:rFonts w:ascii="仿宋_GB2312" w:hAnsi="仿宋_GB2312" w:cs="仿宋_GB2312" w:eastAsia="仿宋_GB2312"/>
        </w:rPr>
        <w:t>8、无重大违法说明：参加政府采购活动前3年内，在经营活动中没有重大违法记录的书面声明；</w:t>
      </w:r>
    </w:p>
    <w:p>
      <w:pPr>
        <w:pStyle w:val="null3"/>
      </w:pPr>
      <w:r>
        <w:rPr>
          <w:rFonts w:ascii="仿宋_GB2312" w:hAnsi="仿宋_GB2312" w:cs="仿宋_GB2312" w:eastAsia="仿宋_GB2312"/>
        </w:rPr>
        <w:t>9、特殊资格：（1）投标人为生产厂家须提供有效的《药品生产许可证》、《危险化学品登记证》、《安全生产许可证》、《气瓶充装许可证》、《移动式压力容器充装许可证》及《道路运输经营许可证》（含危险货物运输）； （2）投标人为代理商时须提供生产厂家有效的《药品生产许可证》、《危险化学品登记证》、《安全生产许可证》、《气瓶充装许可证》、《移动式压力容器充装许可证》；还须提供有效的《危险化学品经营许可证》及《道路运输经营许可证》（含危险货物运输）； （3）充装人员须提供有效的固定式和移动式压力容器操作证书及投标截止之日前近三个月在投标人单位缴纳社会保障资金(养老保险或医疗保险)的缴纳证明；</w:t>
      </w:r>
    </w:p>
    <w:p>
      <w:pPr>
        <w:pStyle w:val="null3"/>
      </w:pPr>
      <w:r>
        <w:rPr>
          <w:rFonts w:ascii="仿宋_GB2312" w:hAnsi="仿宋_GB2312" w:cs="仿宋_GB2312" w:eastAsia="仿宋_GB2312"/>
        </w:rPr>
        <w:t>10、控股管理关系：单位负责人为同一人或者存在直接控股、管理关系的不同供应商，不得参加同一合同项下的政府采购活动；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11、非联合体承诺书：本项目不接受联合体投标。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陕西知源集易招标代理有限公司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陕西省西安市高新区科技二路兰基中心1003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郑凡、赵雪静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029-89520099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成交）供应商的中标（成交）金额为基数，在《国家计委关于印发&lt;招标代理服务收费管理暂行办法&gt;的通知》（计价格〔2002〕1980号）规定标准的基础上下浮20%，由中标（成交）供应商向陕西知源集易招标代理有限公司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陕西知源集易招标代理有限公司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西安市第五医院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陕西知源集易招标代理有限公司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陕西知源集易招标代理有限公司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陕西知源集易招标代理有限公司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联系人：郑凡、赵雪静</w:t>
      </w:r>
    </w:p>
    <w:p>
      <w:pPr>
        <w:pStyle w:val="null3"/>
      </w:pPr>
      <w:r>
        <w:rPr>
          <w:rFonts w:ascii="仿宋_GB2312" w:hAnsi="仿宋_GB2312" w:cs="仿宋_GB2312" w:eastAsia="仿宋_GB2312"/>
        </w:rPr>
        <w:t>联系电话：029-89520099</w:t>
      </w:r>
    </w:p>
    <w:p>
      <w:pPr>
        <w:pStyle w:val="null3"/>
      </w:pPr>
      <w:r>
        <w:rPr>
          <w:rFonts w:ascii="仿宋_GB2312" w:hAnsi="仿宋_GB2312" w:cs="仿宋_GB2312" w:eastAsia="仿宋_GB2312"/>
        </w:rPr>
        <w:t>地址：西安市高新区科技二路72号兰基中心1003室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西安市第五医院医用气体供应项目，全院各病区钢瓶氧气、二氧化碳、液氮、混合气、液态氧气的配送灌装，如医院出现紧急情况时，应配合医院情况配送相应数量的应急气体。</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医用气体供应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标的名称：医用气体供应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 xml:space="preserve">  一、</w:t>
            </w:r>
            <w:r>
              <w:rPr>
                <w:rFonts w:ascii="仿宋_GB2312" w:hAnsi="仿宋_GB2312" w:cs="仿宋_GB2312" w:eastAsia="仿宋_GB2312"/>
                <w:sz w:val="22"/>
                <w:b/>
              </w:rPr>
              <w:t>项目概况</w:t>
            </w:r>
          </w:p>
          <w:p>
            <w:pPr>
              <w:pStyle w:val="null3"/>
              <w:ind w:firstLine="440"/>
              <w:jc w:val="both"/>
            </w:pPr>
            <w:r>
              <w:rPr>
                <w:rFonts w:ascii="仿宋_GB2312" w:hAnsi="仿宋_GB2312" w:cs="仿宋_GB2312" w:eastAsia="仿宋_GB2312"/>
                <w:sz w:val="22"/>
              </w:rPr>
              <w:t>为保证全院各病区医用瓶装气体及管道压力的正常使用，需对医用气体进行招标采购，以确保医用气体正常供给。</w:t>
            </w:r>
          </w:p>
          <w:p>
            <w:pPr>
              <w:pStyle w:val="null3"/>
              <w:ind w:firstLine="440"/>
              <w:jc w:val="both"/>
            </w:pPr>
            <w:r>
              <w:rPr>
                <w:rFonts w:ascii="仿宋_GB2312" w:hAnsi="仿宋_GB2312" w:cs="仿宋_GB2312" w:eastAsia="仿宋_GB2312"/>
                <w:sz w:val="22"/>
              </w:rPr>
              <w:t>二、</w:t>
            </w:r>
            <w:r>
              <w:rPr>
                <w:rFonts w:ascii="仿宋_GB2312" w:hAnsi="仿宋_GB2312" w:cs="仿宋_GB2312" w:eastAsia="仿宋_GB2312"/>
                <w:sz w:val="22"/>
                <w:b/>
              </w:rPr>
              <w:t>采购内容</w:t>
            </w:r>
          </w:p>
          <w:p>
            <w:pPr>
              <w:pStyle w:val="null3"/>
              <w:jc w:val="both"/>
            </w:pPr>
            <w:r>
              <w:rPr>
                <w:rFonts w:ascii="仿宋_GB2312" w:hAnsi="仿宋_GB2312" w:cs="仿宋_GB2312" w:eastAsia="仿宋_GB2312"/>
                <w:sz w:val="22"/>
              </w:rPr>
              <w:t>全院各病区钢瓶氧气、二氧化碳、液氮、混合气、液态氧气的配送灌装，</w:t>
            </w:r>
          </w:p>
          <w:p>
            <w:pPr>
              <w:pStyle w:val="null3"/>
              <w:jc w:val="both"/>
            </w:pPr>
            <w:r>
              <w:rPr>
                <w:rFonts w:ascii="仿宋_GB2312" w:hAnsi="仿宋_GB2312" w:cs="仿宋_GB2312" w:eastAsia="仿宋_GB2312"/>
                <w:sz w:val="22"/>
              </w:rPr>
              <w:t>如医院出现紧急情况时，应配合医院情况配送相应数量的应急气体。</w:t>
            </w:r>
          </w:p>
          <w:tbl>
            <w:tblPr>
              <w:tblInd w:type="dxa" w:w="135"/>
              <w:tblBorders>
                <w:top w:val="none" w:color="000000" w:sz="4"/>
                <w:left w:val="none" w:color="000000" w:sz="4"/>
                <w:bottom w:val="none" w:color="000000" w:sz="4"/>
                <w:right w:val="none" w:color="000000" w:sz="4"/>
                <w:insideH w:val="none"/>
                <w:insideV w:val="none"/>
              </w:tblBorders>
            </w:tblPr>
            <w:tblGrid>
              <w:gridCol w:w="240"/>
              <w:gridCol w:w="400"/>
              <w:gridCol w:w="534"/>
              <w:gridCol w:w="256"/>
              <w:gridCol w:w="640"/>
              <w:gridCol w:w="470"/>
            </w:tblGrid>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名称</w:t>
                  </w:r>
                </w:p>
              </w:tc>
              <w:tc>
                <w:tcPr>
                  <w:tcW w:type="dxa" w:w="5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规格</w:t>
                  </w:r>
                  <w:r>
                    <w:rPr>
                      <w:rFonts w:ascii="仿宋_GB2312" w:hAnsi="仿宋_GB2312" w:cs="仿宋_GB2312" w:eastAsia="仿宋_GB2312"/>
                      <w:sz w:val="22"/>
                    </w:rPr>
                    <w:t>/型号</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最高限价（元</w:t>
                  </w:r>
                  <w:r>
                    <w:rPr>
                      <w:rFonts w:ascii="仿宋_GB2312" w:hAnsi="仿宋_GB2312" w:cs="仿宋_GB2312" w:eastAsia="仿宋_GB2312"/>
                      <w:sz w:val="22"/>
                    </w:rPr>
                    <w:t>/单位）</w:t>
                  </w:r>
                </w:p>
              </w:tc>
              <w:tc>
                <w:tcPr>
                  <w:tcW w:type="dxa" w:w="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氧气</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40L</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二氧化碳</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40L</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液氮</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1L</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升</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混合气</w:t>
                  </w:r>
                  <w:r>
                    <w:rPr>
                      <w:rFonts w:ascii="仿宋_GB2312" w:hAnsi="仿宋_GB2312" w:cs="仿宋_GB2312" w:eastAsia="仿宋_GB2312"/>
                      <w:sz w:val="22"/>
                    </w:rPr>
                    <w:t>/标准气</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8L</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瓶</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r>
                    <w:rPr>
                      <w:rFonts w:ascii="仿宋_GB2312" w:hAnsi="仿宋_GB2312" w:cs="仿宋_GB2312" w:eastAsia="仿宋_GB2312"/>
                      <w:sz w:val="22"/>
                    </w:rPr>
                    <w:t>00</w:t>
                  </w:r>
                  <w:r>
                    <w:rPr>
                      <w:rFonts w:ascii="仿宋_GB2312" w:hAnsi="仿宋_GB2312" w:cs="仿宋_GB2312" w:eastAsia="仿宋_GB2312"/>
                      <w:sz w:val="22"/>
                    </w:rPr>
                    <w:t>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钢瓶</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40L</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750元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核心产品</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液态氧气</w:t>
                  </w:r>
                </w:p>
              </w:tc>
              <w:tc>
                <w:tcPr>
                  <w:tcW w:type="dxa" w:w="5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1t</w:t>
                  </w:r>
                </w:p>
                <w:p>
                  <w:pPr>
                    <w:pStyle w:val="null3"/>
                    <w:jc w:val="center"/>
                  </w:pPr>
                  <w:r>
                    <w:rPr>
                      <w:rFonts w:ascii="仿宋_GB2312" w:hAnsi="仿宋_GB2312" w:cs="仿宋_GB2312" w:eastAsia="仿宋_GB2312"/>
                      <w:sz w:val="22"/>
                    </w:rPr>
                    <w:t>（氧含量</w:t>
                  </w:r>
                  <w:r>
                    <w:rPr>
                      <w:rFonts w:ascii="仿宋_GB2312" w:hAnsi="仿宋_GB2312" w:cs="仿宋_GB2312" w:eastAsia="仿宋_GB2312"/>
                      <w:sz w:val="22"/>
                    </w:rPr>
                    <w:t>≥99.5％）</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吨</w:t>
                  </w:r>
                </w:p>
              </w:tc>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r>
                    <w:rPr>
                      <w:rFonts w:ascii="仿宋_GB2312" w:hAnsi="仿宋_GB2312" w:cs="仿宋_GB2312" w:eastAsia="仿宋_GB2312"/>
                      <w:sz w:val="22"/>
                    </w:rPr>
                    <w:t>4</w:t>
                  </w:r>
                  <w:r>
                    <w:rPr>
                      <w:rFonts w:ascii="仿宋_GB2312" w:hAnsi="仿宋_GB2312" w:cs="仿宋_GB2312" w:eastAsia="仿宋_GB2312"/>
                      <w:sz w:val="22"/>
                    </w:rPr>
                    <w:t>0元</w:t>
                  </w:r>
                </w:p>
              </w:tc>
              <w:tc>
                <w:tcPr>
                  <w:tcW w:type="dxa" w:w="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r>
          </w:tbl>
          <w:p>
            <w:pPr>
              <w:pStyle w:val="null3"/>
              <w:jc w:val="both"/>
            </w:pPr>
            <w:r>
              <w:rPr>
                <w:rFonts w:ascii="仿宋_GB2312" w:hAnsi="仿宋_GB2312" w:cs="仿宋_GB2312" w:eastAsia="仿宋_GB2312"/>
                <w:sz w:val="22"/>
                <w:b/>
              </w:rPr>
              <w:t>注：</w:t>
            </w:r>
            <w:r>
              <w:rPr>
                <w:rFonts w:ascii="仿宋_GB2312" w:hAnsi="仿宋_GB2312" w:cs="仿宋_GB2312" w:eastAsia="仿宋_GB2312"/>
                <w:sz w:val="22"/>
                <w:b/>
              </w:rPr>
              <w:t>1.本项目的核心产品为</w:t>
            </w:r>
            <w:r>
              <w:rPr>
                <w:rFonts w:ascii="仿宋_GB2312" w:hAnsi="仿宋_GB2312" w:cs="仿宋_GB2312" w:eastAsia="仿宋_GB2312"/>
                <w:sz w:val="22"/>
                <w:b/>
              </w:rPr>
              <w:t>钢瓶</w:t>
            </w:r>
          </w:p>
          <w:p>
            <w:pPr>
              <w:pStyle w:val="null3"/>
              <w:ind w:firstLine="442"/>
              <w:jc w:val="both"/>
            </w:pPr>
            <w:r>
              <w:rPr>
                <w:rFonts w:ascii="仿宋_GB2312" w:hAnsi="仿宋_GB2312" w:cs="仿宋_GB2312" w:eastAsia="仿宋_GB2312"/>
                <w:sz w:val="22"/>
                <w:b/>
              </w:rPr>
              <w:t>2.此表的价格为单价的最高限价</w:t>
            </w:r>
          </w:p>
          <w:p>
            <w:pPr>
              <w:pStyle w:val="null3"/>
              <w:ind w:firstLine="442"/>
              <w:jc w:val="both"/>
            </w:pPr>
            <w:r>
              <w:rPr>
                <w:rFonts w:ascii="仿宋_GB2312" w:hAnsi="仿宋_GB2312" w:cs="仿宋_GB2312" w:eastAsia="仿宋_GB2312"/>
                <w:sz w:val="22"/>
                <w:b/>
              </w:rPr>
              <w:t>三、技术要求</w:t>
            </w:r>
          </w:p>
          <w:p>
            <w:pPr>
              <w:pStyle w:val="null3"/>
              <w:jc w:val="both"/>
            </w:pPr>
            <w:r>
              <w:rPr>
                <w:rFonts w:ascii="仿宋_GB2312" w:hAnsi="仿宋_GB2312" w:cs="仿宋_GB2312" w:eastAsia="仿宋_GB2312"/>
                <w:sz w:val="22"/>
              </w:rPr>
              <w:t xml:space="preserve">  1.</w:t>
            </w:r>
            <w:r>
              <w:rPr>
                <w:rFonts w:ascii="仿宋_GB2312" w:hAnsi="仿宋_GB2312" w:cs="仿宋_GB2312" w:eastAsia="仿宋_GB2312"/>
                <w:sz w:val="22"/>
              </w:rPr>
              <w:t>每瓶</w:t>
            </w:r>
            <w:r>
              <w:rPr>
                <w:rFonts w:ascii="仿宋_GB2312" w:hAnsi="仿宋_GB2312" w:cs="仿宋_GB2312" w:eastAsia="仿宋_GB2312"/>
                <w:sz w:val="22"/>
              </w:rPr>
              <w:t>40L氧气充装量</w:t>
            </w:r>
            <w:r>
              <w:rPr>
                <w:rFonts w:ascii="仿宋_GB2312" w:hAnsi="仿宋_GB2312" w:cs="仿宋_GB2312" w:eastAsia="仿宋_GB2312"/>
                <w:sz w:val="22"/>
              </w:rPr>
              <w:t>10—12MPa之间；</w:t>
            </w:r>
          </w:p>
          <w:p>
            <w:pPr>
              <w:pStyle w:val="null3"/>
              <w:jc w:val="both"/>
            </w:pPr>
            <w:r>
              <w:rPr>
                <w:rFonts w:ascii="仿宋_GB2312" w:hAnsi="仿宋_GB2312" w:cs="仿宋_GB2312" w:eastAsia="仿宋_GB2312"/>
                <w:sz w:val="22"/>
              </w:rPr>
              <w:t xml:space="preserve">  2.</w:t>
            </w:r>
            <w:r>
              <w:rPr>
                <w:rFonts w:ascii="仿宋_GB2312" w:hAnsi="仿宋_GB2312" w:cs="仿宋_GB2312" w:eastAsia="仿宋_GB2312"/>
                <w:sz w:val="22"/>
              </w:rPr>
              <w:t>每瓶</w:t>
            </w:r>
            <w:r>
              <w:rPr>
                <w:rFonts w:ascii="仿宋_GB2312" w:hAnsi="仿宋_GB2312" w:cs="仿宋_GB2312" w:eastAsia="仿宋_GB2312"/>
                <w:sz w:val="22"/>
              </w:rPr>
              <w:t>40L二氧化碳充装量</w:t>
            </w:r>
            <w:r>
              <w:rPr>
                <w:rFonts w:ascii="仿宋_GB2312" w:hAnsi="仿宋_GB2312" w:cs="仿宋_GB2312" w:eastAsia="仿宋_GB2312"/>
                <w:sz w:val="22"/>
              </w:rPr>
              <w:t>4—5MPa之间；</w:t>
            </w:r>
          </w:p>
          <w:p>
            <w:pPr>
              <w:pStyle w:val="null3"/>
              <w:jc w:val="both"/>
            </w:pPr>
            <w:r>
              <w:rPr>
                <w:rFonts w:ascii="仿宋_GB2312" w:hAnsi="仿宋_GB2312" w:cs="仿宋_GB2312" w:eastAsia="仿宋_GB2312"/>
                <w:sz w:val="22"/>
              </w:rPr>
              <w:t xml:space="preserve">  3.</w:t>
            </w:r>
            <w:r>
              <w:rPr>
                <w:rFonts w:ascii="仿宋_GB2312" w:hAnsi="仿宋_GB2312" w:cs="仿宋_GB2312" w:eastAsia="仿宋_GB2312"/>
                <w:sz w:val="22"/>
              </w:rPr>
              <w:t>医用液氧指标</w:t>
            </w:r>
            <w:r>
              <w:rPr>
                <w:rFonts w:ascii="仿宋_GB2312" w:hAnsi="仿宋_GB2312" w:cs="仿宋_GB2312" w:eastAsia="仿宋_GB2312"/>
                <w:sz w:val="22"/>
              </w:rPr>
              <w:t>：</w:t>
            </w:r>
            <w:r>
              <w:rPr>
                <w:rFonts w:ascii="仿宋_GB2312" w:hAnsi="仿宋_GB2312" w:cs="仿宋_GB2312" w:eastAsia="仿宋_GB2312"/>
                <w:sz w:val="22"/>
              </w:rPr>
              <w:t>液态氧气氧含量</w:t>
            </w:r>
            <w:r>
              <w:rPr>
                <w:rFonts w:ascii="仿宋_GB2312" w:hAnsi="仿宋_GB2312" w:cs="仿宋_GB2312" w:eastAsia="仿宋_GB2312"/>
                <w:sz w:val="22"/>
              </w:rPr>
              <w:t>≥99.5%，一氧化碳、二氧化碳、水分</w:t>
            </w:r>
            <w:r>
              <w:rPr>
                <w:rFonts w:ascii="仿宋_GB2312" w:hAnsi="仿宋_GB2312" w:cs="仿宋_GB2312" w:eastAsia="仿宋_GB2312"/>
                <w:sz w:val="22"/>
              </w:rPr>
              <w:t>等指标符合</w:t>
            </w:r>
            <w:r>
              <w:rPr>
                <w:rFonts w:ascii="仿宋_GB2312" w:hAnsi="仿宋_GB2312" w:cs="仿宋_GB2312" w:eastAsia="仿宋_GB2312"/>
                <w:sz w:val="22"/>
              </w:rPr>
              <w:t>药典</w:t>
            </w:r>
            <w:r>
              <w:rPr>
                <w:rFonts w:ascii="仿宋_GB2312" w:hAnsi="仿宋_GB2312" w:cs="仿宋_GB2312" w:eastAsia="仿宋_GB2312"/>
                <w:sz w:val="22"/>
              </w:rPr>
              <w:t>标准</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4.</w:t>
            </w:r>
            <w:r>
              <w:rPr>
                <w:rFonts w:ascii="仿宋_GB2312" w:hAnsi="仿宋_GB2312" w:cs="仿宋_GB2312" w:eastAsia="仿宋_GB2312"/>
                <w:sz w:val="22"/>
              </w:rPr>
              <w:t>氧气密度和液氧比重</w:t>
            </w:r>
            <w:r>
              <w:rPr>
                <w:rFonts w:ascii="仿宋_GB2312" w:hAnsi="仿宋_GB2312" w:cs="仿宋_GB2312" w:eastAsia="仿宋_GB2312"/>
                <w:sz w:val="22"/>
              </w:rPr>
              <w:t>：</w:t>
            </w:r>
            <w:r>
              <w:rPr>
                <w:rFonts w:ascii="仿宋_GB2312" w:hAnsi="仿宋_GB2312" w:cs="仿宋_GB2312" w:eastAsia="仿宋_GB2312"/>
                <w:sz w:val="22"/>
              </w:rPr>
              <w:t>在标准状况</w:t>
            </w:r>
            <w:r>
              <w:rPr>
                <w:rFonts w:ascii="仿宋_GB2312" w:hAnsi="仿宋_GB2312" w:cs="仿宋_GB2312" w:eastAsia="仿宋_GB2312"/>
                <w:sz w:val="22"/>
              </w:rPr>
              <w:t>[0℃，1个大气压(0.1</w:t>
            </w:r>
            <w:r>
              <w:rPr>
                <w:rFonts w:ascii="仿宋_GB2312" w:hAnsi="仿宋_GB2312" w:cs="仿宋_GB2312" w:eastAsia="仿宋_GB2312"/>
                <w:sz w:val="22"/>
              </w:rPr>
              <w:t>MPa</w:t>
            </w:r>
            <w:r>
              <w:rPr>
                <w:rFonts w:ascii="仿宋_GB2312" w:hAnsi="仿宋_GB2312" w:cs="仿宋_GB2312" w:eastAsia="仿宋_GB2312"/>
                <w:sz w:val="22"/>
              </w:rPr>
              <w:t>）</w:t>
            </w:r>
            <w:r>
              <w:rPr>
                <w:rFonts w:ascii="仿宋_GB2312" w:hAnsi="仿宋_GB2312" w:cs="仿宋_GB2312" w:eastAsia="仿宋_GB2312"/>
                <w:sz w:val="22"/>
              </w:rPr>
              <w:t>]下，</w:t>
            </w:r>
          </w:p>
          <w:p>
            <w:pPr>
              <w:pStyle w:val="null3"/>
              <w:jc w:val="both"/>
            </w:pPr>
            <w:r>
              <w:rPr>
                <w:rFonts w:ascii="仿宋_GB2312" w:hAnsi="仿宋_GB2312" w:cs="仿宋_GB2312" w:eastAsia="仿宋_GB2312"/>
                <w:sz w:val="22"/>
              </w:rPr>
              <w:t>液氧密度为</w:t>
            </w:r>
            <w:r>
              <w:rPr>
                <w:rFonts w:ascii="仿宋_GB2312" w:hAnsi="仿宋_GB2312" w:cs="仿宋_GB2312" w:eastAsia="仿宋_GB2312"/>
                <w:sz w:val="22"/>
              </w:rPr>
              <w:t>1.14吨/</w:t>
            </w:r>
            <w:r>
              <w:rPr>
                <w:rFonts w:ascii="仿宋_GB2312" w:hAnsi="仿宋_GB2312" w:cs="仿宋_GB2312" w:eastAsia="仿宋_GB2312"/>
                <w:sz w:val="22"/>
              </w:rPr>
              <w:t>m³；</w:t>
            </w:r>
          </w:p>
          <w:p>
            <w:pPr>
              <w:pStyle w:val="null3"/>
              <w:ind w:firstLine="440"/>
              <w:jc w:val="both"/>
            </w:pPr>
            <w:r>
              <w:rPr>
                <w:rFonts w:ascii="仿宋_GB2312" w:hAnsi="仿宋_GB2312" w:cs="仿宋_GB2312" w:eastAsia="仿宋_GB2312"/>
                <w:sz w:val="22"/>
              </w:rPr>
              <w:t>5.</w:t>
            </w:r>
            <w:r>
              <w:rPr>
                <w:rFonts w:ascii="仿宋_GB2312" w:hAnsi="仿宋_GB2312" w:cs="仿宋_GB2312" w:eastAsia="仿宋_GB2312"/>
                <w:sz w:val="22"/>
              </w:rPr>
              <w:t>液氧汽化比</w:t>
            </w:r>
            <w:r>
              <w:rPr>
                <w:rFonts w:ascii="仿宋_GB2312" w:hAnsi="仿宋_GB2312" w:cs="仿宋_GB2312" w:eastAsia="仿宋_GB2312"/>
                <w:sz w:val="22"/>
              </w:rPr>
              <w:t>：</w:t>
            </w:r>
            <w:r>
              <w:rPr>
                <w:rFonts w:ascii="仿宋_GB2312" w:hAnsi="仿宋_GB2312" w:cs="仿宋_GB2312" w:eastAsia="仿宋_GB2312"/>
                <w:sz w:val="22"/>
              </w:rPr>
              <w:t>在标准状况</w:t>
            </w:r>
            <w:r>
              <w:rPr>
                <w:rFonts w:ascii="仿宋_GB2312" w:hAnsi="仿宋_GB2312" w:cs="仿宋_GB2312" w:eastAsia="仿宋_GB2312"/>
                <w:sz w:val="22"/>
              </w:rPr>
              <w:t>[0℃，1个大气压(0.1</w:t>
            </w:r>
            <w:r>
              <w:rPr>
                <w:rFonts w:ascii="仿宋_GB2312" w:hAnsi="仿宋_GB2312" w:cs="仿宋_GB2312" w:eastAsia="仿宋_GB2312"/>
                <w:sz w:val="22"/>
              </w:rPr>
              <w:t>MPa</w:t>
            </w:r>
            <w:r>
              <w:rPr>
                <w:rFonts w:ascii="仿宋_GB2312" w:hAnsi="仿宋_GB2312" w:cs="仿宋_GB2312" w:eastAsia="仿宋_GB2312"/>
                <w:sz w:val="22"/>
              </w:rPr>
              <w:t>）</w:t>
            </w:r>
            <w:r>
              <w:rPr>
                <w:rFonts w:ascii="仿宋_GB2312" w:hAnsi="仿宋_GB2312" w:cs="仿宋_GB2312" w:eastAsia="仿宋_GB2312"/>
                <w:sz w:val="22"/>
              </w:rPr>
              <w:t>]下，1</w:t>
            </w:r>
            <w:r>
              <w:rPr>
                <w:rFonts w:ascii="仿宋_GB2312" w:hAnsi="仿宋_GB2312" w:cs="仿宋_GB2312" w:eastAsia="仿宋_GB2312"/>
                <w:sz w:val="22"/>
              </w:rPr>
              <w:t>m³</w:t>
            </w:r>
            <w:r>
              <w:rPr>
                <w:rFonts w:ascii="仿宋_GB2312" w:hAnsi="仿宋_GB2312" w:cs="仿宋_GB2312" w:eastAsia="仿宋_GB2312"/>
                <w:sz w:val="22"/>
              </w:rPr>
              <w:t>医用液氧可汽化成</w:t>
            </w:r>
            <w:r>
              <w:rPr>
                <w:rFonts w:ascii="仿宋_GB2312" w:hAnsi="仿宋_GB2312" w:cs="仿宋_GB2312" w:eastAsia="仿宋_GB2312"/>
                <w:sz w:val="22"/>
              </w:rPr>
              <w:t>≥804</w:t>
            </w:r>
            <w:r>
              <w:rPr>
                <w:rFonts w:ascii="仿宋_GB2312" w:hAnsi="仿宋_GB2312" w:cs="仿宋_GB2312" w:eastAsia="仿宋_GB2312"/>
                <w:sz w:val="22"/>
              </w:rPr>
              <w:t>m³</w:t>
            </w:r>
            <w:r>
              <w:rPr>
                <w:rFonts w:ascii="仿宋_GB2312" w:hAnsi="仿宋_GB2312" w:cs="仿宋_GB2312" w:eastAsia="仿宋_GB2312"/>
                <w:sz w:val="22"/>
              </w:rPr>
              <w:t>的氧气。</w:t>
            </w:r>
          </w:p>
          <w:p>
            <w:pPr>
              <w:pStyle w:val="null3"/>
              <w:ind w:firstLine="442"/>
              <w:jc w:val="both"/>
            </w:pPr>
            <w:r>
              <w:rPr>
                <w:rFonts w:ascii="仿宋_GB2312" w:hAnsi="仿宋_GB2312" w:cs="仿宋_GB2312" w:eastAsia="仿宋_GB2312"/>
                <w:sz w:val="22"/>
                <w:b/>
              </w:rPr>
              <w:t>四、商务要求</w:t>
            </w:r>
          </w:p>
          <w:p>
            <w:pPr>
              <w:pStyle w:val="null3"/>
              <w:ind w:firstLine="440"/>
              <w:jc w:val="both"/>
            </w:pPr>
            <w:r>
              <w:rPr>
                <w:rFonts w:ascii="仿宋_GB2312" w:hAnsi="仿宋_GB2312" w:cs="仿宋_GB2312" w:eastAsia="仿宋_GB2312"/>
                <w:sz w:val="22"/>
              </w:rPr>
              <w:t>1.</w:t>
            </w:r>
            <w:r>
              <w:rPr>
                <w:rFonts w:ascii="仿宋_GB2312" w:hAnsi="仿宋_GB2312" w:cs="仿宋_GB2312" w:eastAsia="仿宋_GB2312"/>
                <w:sz w:val="22"/>
              </w:rPr>
              <w:t>服务期限：自签订合同之日起一年</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2.</w:t>
            </w:r>
            <w:r>
              <w:rPr>
                <w:rFonts w:ascii="仿宋_GB2312" w:hAnsi="仿宋_GB2312" w:cs="仿宋_GB2312" w:eastAsia="仿宋_GB2312"/>
                <w:sz w:val="22"/>
              </w:rPr>
              <w:t>款项结算</w:t>
            </w:r>
          </w:p>
          <w:p>
            <w:pPr>
              <w:pStyle w:val="null3"/>
              <w:ind w:firstLine="440"/>
              <w:jc w:val="both"/>
            </w:pPr>
            <w:r>
              <w:rPr>
                <w:rFonts w:ascii="仿宋_GB2312" w:hAnsi="仿宋_GB2312" w:cs="仿宋_GB2312" w:eastAsia="仿宋_GB2312"/>
                <w:sz w:val="22"/>
              </w:rPr>
              <w:t>2.1</w:t>
            </w:r>
            <w:r>
              <w:rPr>
                <w:rFonts w:ascii="仿宋_GB2312" w:hAnsi="仿宋_GB2312" w:cs="仿宋_GB2312" w:eastAsia="仿宋_GB2312"/>
                <w:sz w:val="22"/>
              </w:rPr>
              <w:t>合同预算价款</w:t>
            </w:r>
            <w:r>
              <w:rPr>
                <w:rFonts w:ascii="仿宋_GB2312" w:hAnsi="仿宋_GB2312" w:cs="仿宋_GB2312" w:eastAsia="仿宋_GB2312"/>
                <w:sz w:val="22"/>
              </w:rPr>
              <w:t>:510000元（大写：伍壹万元整），据实结算，在合同期内如超出预算总金额，则合同终止。</w:t>
            </w:r>
          </w:p>
          <w:p>
            <w:pPr>
              <w:pStyle w:val="null3"/>
              <w:ind w:firstLine="440"/>
              <w:jc w:val="both"/>
            </w:pPr>
            <w:r>
              <w:rPr>
                <w:rFonts w:ascii="仿宋_GB2312" w:hAnsi="仿宋_GB2312" w:cs="仿宋_GB2312" w:eastAsia="仿宋_GB2312"/>
                <w:sz w:val="22"/>
              </w:rPr>
              <w:t>以具体配送量为准，经管理科室及上磅进出厂回单确认后，甲方按照实际配送量一季度结算一次，乙方提供有效发票之日起，支付给乙方医用气体供应费用。收到发票之日起</w:t>
            </w:r>
            <w:r>
              <w:rPr>
                <w:rFonts w:ascii="仿宋_GB2312" w:hAnsi="仿宋_GB2312" w:cs="仿宋_GB2312" w:eastAsia="仿宋_GB2312"/>
                <w:sz w:val="22"/>
              </w:rPr>
              <w:t>10个工作日支付发票金额。</w:t>
            </w:r>
          </w:p>
          <w:p>
            <w:pPr>
              <w:pStyle w:val="null3"/>
              <w:ind w:firstLine="440"/>
              <w:jc w:val="both"/>
            </w:pPr>
            <w:r>
              <w:rPr>
                <w:rFonts w:ascii="仿宋_GB2312" w:hAnsi="仿宋_GB2312" w:cs="仿宋_GB2312" w:eastAsia="仿宋_GB2312"/>
                <w:sz w:val="22"/>
              </w:rPr>
              <w:t>结算方式：乙方持成交通知书、供货合同、正式发票与甲方进行结算。</w:t>
            </w:r>
          </w:p>
          <w:p>
            <w:pPr>
              <w:pStyle w:val="null3"/>
              <w:ind w:firstLine="440"/>
              <w:jc w:val="both"/>
            </w:pPr>
            <w:r>
              <w:rPr>
                <w:rFonts w:ascii="仿宋_GB2312" w:hAnsi="仿宋_GB2312" w:cs="仿宋_GB2312" w:eastAsia="仿宋_GB2312"/>
                <w:sz w:val="22"/>
              </w:rPr>
              <w:t>资金结算</w:t>
            </w:r>
            <w:r>
              <w:rPr>
                <w:rFonts w:ascii="仿宋_GB2312" w:hAnsi="仿宋_GB2312" w:cs="仿宋_GB2312" w:eastAsia="仿宋_GB2312"/>
                <w:sz w:val="22"/>
              </w:rPr>
              <w:t>通过银行转账方式将款项转入乙方银行账户。</w:t>
            </w:r>
          </w:p>
          <w:p>
            <w:pPr>
              <w:pStyle w:val="null3"/>
              <w:ind w:firstLine="440"/>
              <w:jc w:val="both"/>
            </w:pPr>
            <w:r>
              <w:rPr>
                <w:rFonts w:ascii="仿宋_GB2312" w:hAnsi="仿宋_GB2312" w:cs="仿宋_GB2312" w:eastAsia="仿宋_GB2312"/>
                <w:sz w:val="22"/>
              </w:rPr>
              <w:t>2.2</w:t>
            </w:r>
            <w:r>
              <w:rPr>
                <w:rFonts w:ascii="仿宋_GB2312" w:hAnsi="仿宋_GB2312" w:cs="仿宋_GB2312" w:eastAsia="仿宋_GB2312"/>
                <w:sz w:val="22"/>
              </w:rPr>
              <w:t>甲方仅认可上述指定账户并向该账户付款。否则甲方有权拒绝向指定账户之外的任何账户付款，并且由此导致的付款延迟责任由乙方承担。</w:t>
            </w:r>
          </w:p>
          <w:p>
            <w:pPr>
              <w:pStyle w:val="null3"/>
              <w:ind w:firstLine="440"/>
              <w:jc w:val="both"/>
            </w:pPr>
            <w:r>
              <w:rPr>
                <w:rFonts w:ascii="仿宋_GB2312" w:hAnsi="仿宋_GB2312" w:cs="仿宋_GB2312" w:eastAsia="仿宋_GB2312"/>
                <w:sz w:val="22"/>
              </w:rPr>
              <w:t>乙方要如实开具发票，不得变更开票内容，乙方开具发票出现税务争议时，乙方需承担税款、滞纳金、罚款等赔偿责任以及其他相关责任。</w:t>
            </w:r>
          </w:p>
          <w:p>
            <w:pPr>
              <w:pStyle w:val="null3"/>
              <w:ind w:firstLine="440"/>
              <w:jc w:val="both"/>
            </w:pPr>
            <w:r>
              <w:rPr>
                <w:rFonts w:ascii="仿宋_GB2312" w:hAnsi="仿宋_GB2312" w:cs="仿宋_GB2312" w:eastAsia="仿宋_GB2312"/>
                <w:sz w:val="22"/>
              </w:rPr>
              <w:t>3.服务要求</w:t>
            </w:r>
          </w:p>
          <w:p>
            <w:pPr>
              <w:pStyle w:val="null3"/>
              <w:ind w:firstLine="440"/>
              <w:jc w:val="both"/>
            </w:pPr>
            <w:r>
              <w:rPr>
                <w:rFonts w:ascii="仿宋_GB2312" w:hAnsi="仿宋_GB2312" w:cs="仿宋_GB2312" w:eastAsia="仿宋_GB2312"/>
                <w:sz w:val="22"/>
              </w:rPr>
              <w:t>3.1</w:t>
            </w:r>
            <w:r>
              <w:rPr>
                <w:rFonts w:ascii="仿宋_GB2312" w:hAnsi="仿宋_GB2312" w:cs="仿宋_GB2312" w:eastAsia="仿宋_GB2312"/>
                <w:sz w:val="22"/>
              </w:rPr>
              <w:t>接到配送医用气体电话后，</w:t>
            </w:r>
            <w:r>
              <w:rPr>
                <w:rFonts w:ascii="仿宋_GB2312" w:hAnsi="仿宋_GB2312" w:cs="仿宋_GB2312" w:eastAsia="仿宋_GB2312"/>
                <w:sz w:val="22"/>
              </w:rPr>
              <w:t>当天</w:t>
            </w:r>
            <w:r>
              <w:rPr>
                <w:rFonts w:ascii="仿宋_GB2312" w:hAnsi="仿宋_GB2312" w:cs="仿宋_GB2312" w:eastAsia="仿宋_GB2312"/>
                <w:sz w:val="22"/>
              </w:rPr>
              <w:t>配送到位。如医院出现紧急情况时，应配合医院配送相应应急数量的气体。</w:t>
            </w:r>
          </w:p>
          <w:p>
            <w:pPr>
              <w:pStyle w:val="null3"/>
              <w:ind w:firstLine="440"/>
              <w:jc w:val="both"/>
            </w:pPr>
            <w:r>
              <w:rPr>
                <w:rFonts w:ascii="仿宋_GB2312" w:hAnsi="仿宋_GB2312" w:cs="仿宋_GB2312" w:eastAsia="仿宋_GB2312"/>
                <w:sz w:val="22"/>
              </w:rPr>
              <w:t>3.2.</w:t>
            </w:r>
            <w:r>
              <w:rPr>
                <w:rFonts w:ascii="仿宋_GB2312" w:hAnsi="仿宋_GB2312" w:cs="仿宋_GB2312" w:eastAsia="仿宋_GB2312"/>
                <w:sz w:val="22"/>
              </w:rPr>
              <w:t>产品质量均需符合《中华人民共和国药典》</w:t>
            </w:r>
            <w:r>
              <w:rPr>
                <w:rFonts w:ascii="仿宋_GB2312" w:hAnsi="仿宋_GB2312" w:cs="仿宋_GB2312" w:eastAsia="仿宋_GB2312"/>
                <w:sz w:val="22"/>
              </w:rPr>
              <w:t>2020版第二部医用氧（气态）的要求。</w:t>
            </w:r>
          </w:p>
          <w:p>
            <w:pPr>
              <w:pStyle w:val="null3"/>
              <w:ind w:firstLine="440"/>
              <w:jc w:val="both"/>
            </w:pPr>
            <w:r>
              <w:rPr>
                <w:rFonts w:ascii="仿宋_GB2312" w:hAnsi="仿宋_GB2312" w:cs="仿宋_GB2312" w:eastAsia="仿宋_GB2312"/>
                <w:sz w:val="22"/>
              </w:rPr>
              <w:t>3.3.</w:t>
            </w:r>
            <w:r>
              <w:rPr>
                <w:rFonts w:ascii="仿宋_GB2312" w:hAnsi="仿宋_GB2312" w:cs="仿宋_GB2312" w:eastAsia="仿宋_GB2312"/>
                <w:sz w:val="22"/>
              </w:rPr>
              <w:t>执行《中国药典》</w:t>
            </w:r>
            <w:r>
              <w:rPr>
                <w:rFonts w:ascii="仿宋_GB2312" w:hAnsi="仿宋_GB2312" w:cs="仿宋_GB2312" w:eastAsia="仿宋_GB2312"/>
                <w:sz w:val="22"/>
              </w:rPr>
              <w:t>2020版第二部，验收标准按照中国药典2020标准验收，供货商对所供应的产品</w:t>
            </w:r>
            <w:r>
              <w:rPr>
                <w:rFonts w:ascii="仿宋_GB2312" w:hAnsi="仿宋_GB2312" w:cs="仿宋_GB2312" w:eastAsia="仿宋_GB2312"/>
                <w:sz w:val="22"/>
              </w:rPr>
              <w:t>质保期</w:t>
            </w:r>
            <w:r>
              <w:rPr>
                <w:rFonts w:ascii="仿宋_GB2312" w:hAnsi="仿宋_GB2312" w:cs="仿宋_GB2312" w:eastAsia="仿宋_GB2312"/>
                <w:sz w:val="22"/>
              </w:rPr>
              <w:t>为</w:t>
            </w:r>
            <w:r>
              <w:rPr>
                <w:rFonts w:ascii="仿宋_GB2312" w:hAnsi="仿宋_GB2312" w:cs="仿宋_GB2312" w:eastAsia="仿宋_GB2312"/>
                <w:sz w:val="22"/>
              </w:rPr>
              <w:t>12个月，供货商应提供产品出厂规格及数量并随货附质量检测报告。</w:t>
            </w:r>
          </w:p>
          <w:p>
            <w:pPr>
              <w:pStyle w:val="null3"/>
              <w:ind w:firstLine="440"/>
              <w:jc w:val="both"/>
            </w:pPr>
            <w:r>
              <w:rPr>
                <w:rFonts w:ascii="仿宋_GB2312" w:hAnsi="仿宋_GB2312" w:cs="仿宋_GB2312" w:eastAsia="仿宋_GB2312"/>
                <w:sz w:val="22"/>
              </w:rPr>
              <w:t>3.4.</w:t>
            </w:r>
            <w:r>
              <w:rPr>
                <w:rFonts w:ascii="仿宋_GB2312" w:hAnsi="仿宋_GB2312" w:cs="仿宋_GB2312" w:eastAsia="仿宋_GB2312"/>
                <w:sz w:val="22"/>
              </w:rPr>
              <w:t>供应商所供产品包装标准及包装物的供应均按照国家标准供应；供应产品运输过程产生的运费由供货商承担。</w:t>
            </w:r>
          </w:p>
          <w:p>
            <w:pPr>
              <w:pStyle w:val="null3"/>
              <w:ind w:firstLine="440"/>
              <w:jc w:val="both"/>
            </w:pPr>
            <w:r>
              <w:rPr>
                <w:rFonts w:ascii="仿宋_GB2312" w:hAnsi="仿宋_GB2312" w:cs="仿宋_GB2312" w:eastAsia="仿宋_GB2312"/>
                <w:sz w:val="22"/>
              </w:rPr>
              <w:t>4.违约责任</w:t>
            </w:r>
          </w:p>
          <w:p>
            <w:pPr>
              <w:pStyle w:val="null3"/>
              <w:ind w:firstLine="440"/>
              <w:jc w:val="both"/>
            </w:pPr>
            <w:r>
              <w:rPr>
                <w:rFonts w:ascii="仿宋_GB2312" w:hAnsi="仿宋_GB2312" w:cs="仿宋_GB2312" w:eastAsia="仿宋_GB2312"/>
                <w:sz w:val="22"/>
              </w:rPr>
              <w:t>4</w:t>
            </w:r>
            <w:r>
              <w:rPr>
                <w:rFonts w:ascii="仿宋_GB2312" w:hAnsi="仿宋_GB2312" w:cs="仿宋_GB2312" w:eastAsia="仿宋_GB2312"/>
                <w:sz w:val="22"/>
              </w:rPr>
              <w:t>.1乙方运输过程中造成的安全责任由乙方承担，乙方产品因质量问题造成甲方损失或第三人损失的由乙方承担全部责任。乙方送货延误影响甲方工作，乙方应承担全部责任并赔偿损失并承担合同总价款30%的违约责任（不可抗拒力除外）。</w:t>
            </w:r>
          </w:p>
          <w:p>
            <w:pPr>
              <w:pStyle w:val="null3"/>
              <w:ind w:firstLine="440"/>
              <w:jc w:val="both"/>
            </w:pPr>
            <w:r>
              <w:rPr>
                <w:rFonts w:ascii="仿宋_GB2312" w:hAnsi="仿宋_GB2312" w:cs="仿宋_GB2312" w:eastAsia="仿宋_GB2312"/>
                <w:sz w:val="22"/>
              </w:rPr>
              <w:t>4.2</w:t>
            </w:r>
            <w:r>
              <w:rPr>
                <w:rFonts w:ascii="仿宋_GB2312" w:hAnsi="仿宋_GB2312" w:cs="仿宋_GB2312" w:eastAsia="仿宋_GB2312"/>
                <w:sz w:val="22"/>
              </w:rPr>
              <w:t>因液氧运输属于特种设备运输，因此乙方接到液氧灌装配送电话后，需当天将液氧送达至医院并进行灌装，如预特殊情况时，应配合医院配送，保障应急处理。</w:t>
            </w:r>
          </w:p>
          <w:p>
            <w:pPr>
              <w:pStyle w:val="null3"/>
              <w:jc w:val="both"/>
            </w:pPr>
            <w:r>
              <w:rPr>
                <w:rFonts w:ascii="仿宋_GB2312" w:hAnsi="仿宋_GB2312" w:cs="仿宋_GB2312" w:eastAsia="仿宋_GB2312"/>
                <w:sz w:val="22"/>
              </w:rPr>
              <w:t xml:space="preserve">  4.3</w:t>
            </w:r>
            <w:r>
              <w:rPr>
                <w:rFonts w:ascii="仿宋_GB2312" w:hAnsi="仿宋_GB2312" w:cs="仿宋_GB2312" w:eastAsia="仿宋_GB2312"/>
                <w:sz w:val="22"/>
              </w:rPr>
              <w:t>.乙方送货到院后，如因车辆或其他操作不当引起相关损失，乙方承担全部责任。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供货期：自签订合同之日起一年；交货时间：接到配送医用气体电话后，当天配送到位。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以具体配送量为准，经管理科室及上磅进出厂回单确认后，甲方按照实际配送量一季度结算一次，乙方提供有效发票之日起，支付给乙方医用气体供应费用，收到发票之日起10个工作日</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货物到达甲方指定地点后，甲方根据合同中参数的要求，进行外观验收，确认产地、规格、型号和数量。验收不作为产品质量合格的最终依据。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乙方运输过程中造成的安全责任由乙方承担，乙方产品因质量问题造成甲方损失或第三人损失的由乙方承担全部责任。乙方送货延误影响甲方工作，乙方应承担全部责任并赔偿损失并承担合同总价款30%的违约责任（不可抗拒力除外）。 2.因液氧运输属于特种设备运输，因此乙方接到液氧灌装配送电话后，需当天将液氧送达至医院并进行灌装，如预特殊情况时，应配合医院配送，保障应急处理。 3.乙方送货到院后，如因车辆或其他操作不当引起相关损失，乙方承担全部责任。 解决争议的方法： 友好协商解决，协商未果，可向甲方所在地人民法院提出诉讼。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1.供应商需要在线提交所有通过电子化交易平台实施的政府采购项目的响应文件，同时，线下提交响应文件正本 壹 份、副本 叁 份、电子版 壹 份（U盘一套标明供应商名称，单独密封）； 2.线下纸质文件递交截止时间：同在线递交电子响应文件截止时间一致；线下纸质文件递交地点：陕西省西安市高新区兰基中心1003室。（如需邮寄，建议顺丰速运，并将单位名称、联系人、电话及运单号发至a89520099@163.com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提供法定代表人授权书（附法定代表人、被授权人身份证复印件）及被授权人身份证原件（法定代表人直接参加投标，须提供法定代表人身份证明及身份证原件）；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提供2024年度完整版的财务审计报告，成立时间至提交投标文件截止时间不足一年的可提供成立后任意时段的资产负债表，或投标时间前六个月内基本账户银行出具的资信证明；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提供投标截止之日前一年内已缴纳的至少三个月的纳税证明或完税证明（任意税种），依法免税的单位应提供相关证明材料；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提供投标截止之日前一年内已缴存的至少三个月的社会保障资金缴存单据或社保机构开具的社会保险参保缴费情况证明，依法不需要缴纳社会保障资金的单位应提供相关证明材料；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投标人；不得为中国政府采购网(http://www.ccgp.gov.cn/)“政府采购严重违法失信行为记录名单”中的投标人（投标人无须提供，投标现场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1）投标人为生产厂家须提供有效的《药品生产许可证》、《危险化学品登记证》、《安全生产许可证》、《气瓶充装许可证》、《移动式压力容器充装许可证》及《道路运输经营许可证》（含危险货物运输）； （2）投标人为代理商时须提供生产厂家有效的《药品生产许可证》、《危险化学品登记证》、《安全生产许可证》、《气瓶充装许可证》、《移动式压力容器充装许可证》；还须提供有效的《危险化学品经营许可证》及《道路运输经营许可证》（含危险货物运输）； （3）充装人员须提供有效的固定式和移动式压力容器操作证书及投标截止之日前近三个月在投标人单位缴纳社会保障资金(养老保险或医疗保险)的缴纳证明；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签字和盖章均符合招标文件要求，且无遗漏。</w:t>
            </w:r>
          </w:p>
        </w:tc>
        <w:tc>
          <w:tcPr>
            <w:tcW w:type="dxa" w:w="1661"/>
          </w:tcPr>
          <w:p>
            <w:pPr>
              <w:pStyle w:val="null3"/>
            </w:pPr>
            <w:r>
              <w:rPr>
                <w:rFonts w:ascii="仿宋_GB2312" w:hAnsi="仿宋_GB2312" w:cs="仿宋_GB2312" w:eastAsia="仿宋_GB2312"/>
              </w:rPr>
              <w:t>开标一览表 业绩一览表.docx 供应商应提交的相关资格证明材料.docx 投标函 供应商认为有必要说明的其他问题.docx 标的清单 投标文件封面 商务条款响应偏离表.docx 项目实施方案.docx 承诺函.docx 技术条款响应偏离表.docx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符合招标文件的要求（自提交响应文件的截止之日起90个日历日）。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同时满足以下条款：（1）货币单位符合招标文件要求（2）报价符合唯一性要求（3）未超出单价最高限价（4）符合招标文件的填报要求。</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商务要求是否满足实质性要求的（交货期、付款方式等满足采购要求）。</w:t>
            </w:r>
          </w:p>
        </w:tc>
        <w:tc>
          <w:tcPr>
            <w:tcW w:type="dxa" w:w="1661"/>
          </w:tcPr>
          <w:p>
            <w:pPr>
              <w:pStyle w:val="null3"/>
            </w:pPr>
            <w:r>
              <w:rPr>
                <w:rFonts w:ascii="仿宋_GB2312" w:hAnsi="仿宋_GB2312" w:cs="仿宋_GB2312" w:eastAsia="仿宋_GB2312"/>
              </w:rPr>
              <w:t>投标文件封面 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利益关系承诺</w:t>
            </w:r>
          </w:p>
        </w:tc>
        <w:tc>
          <w:tcPr>
            <w:tcW w:type="dxa" w:w="3322"/>
          </w:tcPr>
          <w:p>
            <w:pPr>
              <w:pStyle w:val="null3"/>
            </w:pPr>
            <w:r>
              <w:rPr>
                <w:rFonts w:ascii="仿宋_GB2312" w:hAnsi="仿宋_GB2312" w:cs="仿宋_GB2312" w:eastAsia="仿宋_GB2312"/>
              </w:rPr>
              <w:t>1、（1）不接受西安市第五医院的职工投资开办或控股的企业；（2）不接受西安市第五医院的职工本人或亲属在投标单位担任高管、独立董事等具有重大利益关系职务的企业； 2、供应商声明与其他投标单位无交叉控股股东、无交叉兼任高级管理人员及涉嫌联合围标、串标行为，无采购单位和招标代理机构职工在该单位兼职的情况，不向采购单位和代理机构相关人员输送利益等行贿行为，一旦中标必须坚守诚信、认真履约。</w:t>
            </w:r>
          </w:p>
        </w:tc>
        <w:tc>
          <w:tcPr>
            <w:tcW w:type="dxa" w:w="1661"/>
          </w:tcPr>
          <w:p>
            <w:pPr>
              <w:pStyle w:val="null3"/>
            </w:pPr>
            <w:r>
              <w:rPr>
                <w:rFonts w:ascii="仿宋_GB2312" w:hAnsi="仿宋_GB2312" w:cs="仿宋_GB2312" w:eastAsia="仿宋_GB2312"/>
              </w:rPr>
              <w:t>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投标产品的技术要求完全符合、响应或优于文件要求,没有负偏离的得5分；技术要求每负偏离一项扣1分，扣完为止。 注:1.提供技术要求1和技术要求2“每瓶40L氧气充装量10—12MPa之间、每瓶40L二氧化碳充装量4—5MPa之间”充装量的承诺函，提供承诺函得1分，未提供不得分 2.提供技术要求3“医用液氧指标”的佐证材料，(佐证材料包括但不限于：经厂家确认的产品彩页、检测报告、官网截图等证明材料)予以佐证。 提供佐证材料得2分，未提供不得分。 3.提供技术要求4和技术要求5“氧气密度和液氧比重：在标准状况[0℃，1个大气压(0.1MPa）]下，液氧密度为1.14吨/m³；液氧汽化比：在标准状况[0℃，1个大气压(0.1MPa）]下，1m³医用液氧可汽化成≥804m³的氧气。”的承诺函；提供承诺函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供货、配送方案</w:t>
            </w:r>
          </w:p>
        </w:tc>
        <w:tc>
          <w:tcPr>
            <w:tcW w:type="dxa" w:w="2492"/>
          </w:tcPr>
          <w:p>
            <w:pPr>
              <w:pStyle w:val="null3"/>
            </w:pPr>
            <w:r>
              <w:rPr>
                <w:rFonts w:ascii="仿宋_GB2312" w:hAnsi="仿宋_GB2312" w:cs="仿宋_GB2312" w:eastAsia="仿宋_GB2312"/>
              </w:rPr>
              <w:t>提供针对本项目的供货、配送方案，内容包括但不限于：①产品按需、按时、按期供货；②安全运输、货物交接过程中的保护措施、③特殊情况的预防措施等具体、详细合理的方案； 评审标准： 1.完整性：方案必须全面，对评审内容中的各项要求有详细描述； 2.可实施性：切合本项目实际情况，提出步骤清晰、合理的方案； 3.针对性：方案能够紧扣项目实际情况，内容科学合理。 上述3项评审内容每满足一项评审标准得2分，满分18分。 每项评审内容或每项评审标准存在“瑕疵”的扣1分，扣完为止。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安全措施及应急处理方案</w:t>
            </w:r>
          </w:p>
        </w:tc>
        <w:tc>
          <w:tcPr>
            <w:tcW w:type="dxa" w:w="2492"/>
          </w:tcPr>
          <w:p>
            <w:pPr>
              <w:pStyle w:val="null3"/>
            </w:pPr>
            <w:r>
              <w:rPr>
                <w:rFonts w:ascii="仿宋_GB2312" w:hAnsi="仿宋_GB2312" w:cs="仿宋_GB2312" w:eastAsia="仿宋_GB2312"/>
              </w:rPr>
              <w:t>针对本项目提供的安全措施及应急处理方案包含但不限于：医用气体充装安全技术措施、遇到突发事故时的应急处理方案等： 1.提供的医用气体充装安全技术高，应急处理方案全面、具体、可行性强，得8分； 2.提供的医用气体充装安全技术较高，应急处理方案较全面、具体、可行性较强，得6分； 3.提供的医用气体充装安全技术一般，应急处理方案有一定的漏洞、可行性一般，得4分； 4.整体方案描述简单、无针对性，得1分； 注：未提供医用气体充装安全技术说明及应急处理方案或说明和方案存在严重安全隐患的不得分。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质量保证及生产能力</w:t>
            </w:r>
          </w:p>
        </w:tc>
        <w:tc>
          <w:tcPr>
            <w:tcW w:type="dxa" w:w="2492"/>
          </w:tcPr>
          <w:p>
            <w:pPr>
              <w:pStyle w:val="null3"/>
            </w:pPr>
            <w:r>
              <w:rPr>
                <w:rFonts w:ascii="仿宋_GB2312" w:hAnsi="仿宋_GB2312" w:cs="仿宋_GB2312" w:eastAsia="仿宋_GB2312"/>
              </w:rPr>
              <w:t>1.产品进货渠道正规，确保生产供应的产品无假货、水货、翻新货且无产权纠纷，根据供应商提供的合法来源渠道证 明资料（包括但不限于销售协议、代理协议、原厂授权等）进行计分： a.供货渠道正规，供应充足，产地及制造商明确，证明材料齐全得5分； b.供货渠道正规，供应充足，产地及制造商不明确，证明材料基本完整得3分； c.供货渠道正规，供应充足，产地及制造商不明确，证明材料不完整得1分； 2.产品生产厂商日生产能力： a.日生产能力≥100吨，得3分； b.日生产能力为50吨（含）-100吨，得2分； c.日生产能力为50吨以下，得1分。 注：提供第三方出具的生产能力证明文件复印件加盖公章，未提供不得分。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售后服务能力包括但不限于：售后服务的及时性、售后服务人员配置、服务水平等： 1.售后服务方案完全满足用户需求，方案内容详细、合理，考虑周全且易于实施，得8分； 2.售后服务方案能满足用户需求，方案内容较为详细、合理，考虑周全，得6分； 3.售后服务方案基本满足用户需求，方案内容基本详细、合理，考虑基本周全，得4分； 4.售后服务方案可满足用户需求，方案内容简单，但可行性一般，得1分；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运营能力</w:t>
            </w:r>
          </w:p>
        </w:tc>
        <w:tc>
          <w:tcPr>
            <w:tcW w:type="dxa" w:w="2492"/>
          </w:tcPr>
          <w:p>
            <w:pPr>
              <w:pStyle w:val="null3"/>
            </w:pPr>
            <w:r>
              <w:rPr>
                <w:rFonts w:ascii="仿宋_GB2312" w:hAnsi="仿宋_GB2312" w:cs="仿宋_GB2312" w:eastAsia="仿宋_GB2312"/>
              </w:rPr>
              <w:t>提供专业医用液氧的运输槽车，液氧运输车标有液氧标识： 1.单车运输能力＜5吨且车辆数量＜5辆车，得1分； 2.单车运输能力≥5吨且车辆数量＜5辆车（或单车运输能力＜5吨且车辆数量≥5辆车），得3分； 3.单车运输能力≥5吨且10≥车辆数量≥5辆车得4分； 4.单车运输能力≥5吨且车辆数量＞10辆车，得5分。 注：提供运输车辆实物照片、行驶证； 未提供上述证明材料此项不得分。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根据拟投入本项目团队押运人员专业能力情况进行评分： 1.人员职责清晰，主要技术人员专业能力及综合素质优秀，得6分； 2.人员职责较清晰，主要技术人员综合技术能力强，得4分； 3.人员职责不明，专业技术能力一般，得2分；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提供投标人2022年6月至今同类项目业绩(以合同签订日期为准，提供完整合同复印件加盖公章)进行评定，每份计2分，最高计8分。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满足招标文件内容及技术要求且投标报价最低的报价为评标基准价，其价格分为满分。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