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版本号：0701-2541SX06000520250801001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西安市中小学教师及校园长科学学科专题网络培训项目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0701-2541SX060005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西安市中小学教师及校园长科学学科专题网络培训项目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西安市中小学教师及校园长科学学科专题网络培训项目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随着科学技术的飞速发展，科学教育在中小学教育中的地位日益凸显。提升科学教育质量，培养学生的科学素养、创新意识和实践能力，成为教育改革的重要目标。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采购包1（西安市中小学教师及校园长科学学科专题网络培训项目）：属于专门面向中小企业采购。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4、税收缴纳证明：提供2024年8月至今任意一个月已缴纳完税凭证或税务机关开具的完税证明（任意税种）；依法免税的应提供相关文件证明。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5、社保缴纳证明：提供2024年8月至今任意一个月已缴纳的社会保障资金缴存单据或社保机构开具的社会保险参保缴费情况证明；依法不需要缴纳社会保障资金的应提供相关文件证明。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1.按照采购人要求，依据现场实际需要，确保西安市中小学教师及校园长科学学科专题网络培训项目项目圆满结束。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科学技术的飞速发展，科学教育在中小学教育中的地位日益凸显。提升科学教育质量，培养学生的科学素养、创新意识和实践能力，成为教育改革的重要目标。通过培训，使中小学教师及校园长深入理解科学学科的核心概念、原理和方法，增强科学学科教学能力；引导教师及校园长掌握现代科学教育理念，如探究式学习、STEM教育等，并将其融入教学实践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西安市中小学教师及校园长科学学科专题网络培训项目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标的名称：西安市中小学教师及校园长科学学科专题网络培训项目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培训对象：西安市中小学教师及校园长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培训人数：</w:t>
            </w:r>
            <w:r>
              <w:rPr>
                <w:rFonts w:ascii="仿宋_GB2312" w:hAnsi="仿宋_GB2312" w:cs="仿宋_GB2312" w:eastAsia="仿宋_GB2312"/>
                <w:sz w:val="21"/>
              </w:rPr>
              <w:t>10000</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培训学时：</w:t>
            </w:r>
            <w:r>
              <w:rPr>
                <w:rFonts w:ascii="仿宋_GB2312" w:hAnsi="仿宋_GB2312" w:cs="仿宋_GB2312" w:eastAsia="仿宋_GB2312"/>
                <w:sz w:val="21"/>
              </w:rPr>
              <w:t>30</w:t>
            </w:r>
            <w:r>
              <w:rPr>
                <w:rFonts w:ascii="仿宋_GB2312" w:hAnsi="仿宋_GB2312" w:cs="仿宋_GB2312" w:eastAsia="仿宋_GB2312"/>
                <w:sz w:val="21"/>
              </w:rPr>
              <w:t>学时</w:t>
            </w:r>
            <w:r>
              <w:rPr>
                <w:rFonts w:ascii="仿宋_GB2312" w:hAnsi="仿宋_GB2312" w:cs="仿宋_GB2312" w:eastAsia="仿宋_GB2312"/>
                <w:sz w:val="21"/>
              </w:rPr>
              <w:t>/</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培训内容：须足额提供</w:t>
            </w:r>
            <w:r>
              <w:rPr>
                <w:rFonts w:ascii="仿宋_GB2312" w:hAnsi="仿宋_GB2312" w:cs="仿宋_GB2312" w:eastAsia="仿宋_GB2312"/>
                <w:sz w:val="21"/>
              </w:rPr>
              <w:t>30</w:t>
            </w:r>
            <w:r>
              <w:rPr>
                <w:rFonts w:ascii="仿宋_GB2312" w:hAnsi="仿宋_GB2312" w:cs="仿宋_GB2312" w:eastAsia="仿宋_GB2312"/>
                <w:sz w:val="21"/>
              </w:rPr>
              <w:t>学时培训课程视频，授课内容包括但不限于以下内容：（数字化技术在科学教育中的应用，</w:t>
            </w:r>
            <w:r>
              <w:rPr>
                <w:rFonts w:ascii="仿宋_GB2312" w:hAnsi="仿宋_GB2312" w:cs="仿宋_GB2312" w:eastAsia="仿宋_GB2312"/>
                <w:sz w:val="21"/>
              </w:rPr>
              <w:t>STEAM</w:t>
            </w:r>
            <w:r>
              <w:rPr>
                <w:rFonts w:ascii="仿宋_GB2312" w:hAnsi="仿宋_GB2312" w:cs="仿宋_GB2312" w:eastAsia="仿宋_GB2312"/>
                <w:sz w:val="21"/>
              </w:rPr>
              <w:t>相关课程，科学素养提升等）。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培训方式：本次培训采用网络研修模式进行</w:t>
            </w:r>
          </w:p>
          <w:p>
            <w:pPr>
              <w:pStyle w:val="null3"/>
            </w:pPr>
            <w:r>
              <w:rPr>
                <w:rFonts w:ascii="仿宋_GB2312" w:hAnsi="仿宋_GB2312" w:cs="仿宋_GB2312" w:eastAsia="仿宋_GB2312"/>
                <w:sz w:val="21"/>
              </w:rPr>
              <w:t>6.</w:t>
            </w:r>
            <w:r>
              <w:rPr>
                <w:rFonts w:ascii="仿宋_GB2312" w:hAnsi="仿宋_GB2312" w:cs="仿宋_GB2312" w:eastAsia="仿宋_GB2312"/>
                <w:sz w:val="21"/>
              </w:rPr>
              <w:t>供应商须提供项目年度培训方案、网络研修课程专题名称、学时划分等详细信息。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合同签订之日起至本项目履约结束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服务结束后由采购人组织验收。验收依据：磋商文件、磋商响应文件、合同文本、国内相应的标准、规范。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所有培训结束后供应商向采购人提交项目验收资料，经采购人验收合格后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提供2024年8月至今任意一个月已缴纳的社会保障资金缴存单据或社保机构开具的社会保险参保缴费情况证明；依法不需要缴纳社会保障资金的应提供相关文件证明。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提供自2022年1月1日起，截至本项目开标之日的类似的业绩（以合同签订时间为准），每提供一个得2分，最高得10分。 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1.能清晰、准确把握培训目标、对象特点、核心需求及政策导向，并深度融入政策要求，分层分类精准分析对象需求，计13-15分。 2.能清晰、准确把握培训目标、对象特点、核心需求及政策导向，基本融入政策要求，分层分类分析对象需求，计10-12分。 3.基本能够把握培训目标、对象特点、核心需求及政策导向，部分提及政策要求，培训对象需求分析基本覆盖，计7-9分。 4.基本理解培训目标、对象特点、核心需求及政策导向，未体现政策要求，培训对象需求分析覆盖不全，计4-6分。 5.培训目标、对象特点、核心需求及政策导向理解不清晰，未体现政策要求，未针对各类培训对象需求进行分析，计1-3分。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1.方案完整科学；内容紧扣核心需求；线上培训形式先进稳定、资源丰富、形式多样、安排高效；组织专家团队师资力量强大，能有效整合研修资源；突出实践性、操作性，具有创新性；计16-20分。 2.方案较为完整科学；内容符合核心需求；线上培训形式较为稳定、资源较多、形式多样、安排基本合理；组织专家团队师资力量强大，能整合研修资源；突出实践性、操作性；计11-15分。 3.方案完整；内容基本满足核心需求；线上培训形式技术保障不够充足、资源较少、培训形式重复、安排不够合理；组织专家团队师资力量弱，研修资源整合能力弱；基本体现实践性、操作性；计6-10分。 4.方案基本可行；内容模糊，缺乏针对性；线上培训形式技术保障不充足、资源匮乏、培训形式单一、安排存在漏洞；未提供专家团队师资力量介绍；缺乏实践性、操作性；计1-5分。 5.本项不提供的，不得分。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1.拟投入本项目的项目团队说明清晰、全面；组织结构合理性强，小组分工明确，能切实保障各培训项目的有效开展；人员专业配备全面、合理，项目团队能够充分保证项目实施进度与质量；计13-15分。 2.拟投入本项目的项目团队说明较为清晰、全面；组织结构合理，小组分工明确，能保障各培训项目按要求开展；人员专业配备全面，项目团队能够保证项目实施进度与质量；计10-12分。 3.拟投入本项目的项目团队说明清晰；组织结构合理性较弱，小组分工不明确，基本能保障各培训项目按要求开展；人员专业配备基本满足，项目团队基本能够保证项目实施进度与质量；计7-9分。 4.拟投入本项目的项目团队说明不够清晰；组织结构合理性较弱，小组分工未做说明，基本保障培训项目开展；人员专业配备不足，项目团队基本能够保证项目实施进度与质量；计4-6分。 5.拟投入本项目的项目团队说明清晰、全面；组织结构及小组分工未做说明，能切实保障各培训项目的有效开展；人员专业配备未做特别说明，项目团队较难保证项目实施进度与质量；计1-3分。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培训软件及设施安排</w:t>
            </w:r>
          </w:p>
        </w:tc>
        <w:tc>
          <w:tcPr>
            <w:tcW w:type="dxa" w:w="2492"/>
          </w:tcPr>
          <w:p>
            <w:pPr>
              <w:pStyle w:val="null3"/>
            </w:pPr>
            <w:r>
              <w:rPr>
                <w:rFonts w:ascii="仿宋_GB2312" w:hAnsi="仿宋_GB2312" w:cs="仿宋_GB2312" w:eastAsia="仿宋_GB2312"/>
              </w:rPr>
              <w:t>1.拟提供培训软件及设施说明清晰、全面；拟提供培训软件系统稳定，培训设施设备完善，线上培训录制设施及技术支持充分；在满足培训需求的基础上有亮点；计7-10分。 2.拟提供培训软件及设施说明基本清晰、全面；拟提供培训软件系统较为稳定，培训设施设备比较完善，线上培训录制设施及技术支持满足培训需求；计4-6分。 3.拟提供培训软件及设施说明基本清晰；拟提供培训软件系统、培训设施设备、线上培训录制设施及技术支持无法满足培训需求；计1-3分。 4.本项不提供的，不得分。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1.提供内容完整、详实可行的项目实施进度计划；方案内容完备，合理性、可行性强，阶段清晰分明；能确保留有因不可抗力而无法举行培训的富余时间；完全满足项目要求；计7-10分。 2.提供内容完整、可行的项目实施进度计划；方案内容完备，具备合理性、可行性，阶段较为清晰；能够满足项目要求；计4-6分。 3.提供内容完整的项目实施进度计划；方案内容片面，合理性较弱，阶段划分模糊；基本满足项目要求；计1-3分。 4.本项不提供的，不得分。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1.具有健全的质量保障方案，方案科学合理，可行性强，针对性强；有科学合理的质量保障监督方案、效果评估方案；有应急预案和相应处理措施；计8-10分。 2.具有健全的质量保障方案，方案科学合理；有科学合理的质量保障监督方案、但效果评估方案较片面、不合理；应急预案和相应处理措施不健全；计5-7分。 3.具有质量保障方案，方案可行性、针对性较弱；质量保障监督方案、效果评估方案均较为片面、不合理；未提供应急预案和相应处理措施；计3-4分。 4.质量保障方案模糊，可行性、针对性较弱；未提供质量保障监督方案或效果评估方案；未提供应急预案和相应处理措施；计1-2分。 5.本项不提供的，不得分。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详见附件：《西安市中小学教师及校园长科学学科专题网络培训项目》合同.docx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