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版本号：ZX2025-06-6620250801001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文物安全卫星遥感监测项目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ZX2025-06-66</w:t>
      </w:r>
      <w:r>
        <w:br/>
      </w:r>
      <w:r>
        <w:br/>
      </w:r>
      <w:r>
        <w:br/>
      </w:r>
    </w:p>
    <w:p>
      <w:pPr>
        <w:pStyle w:val="null3"/>
        <w:jc w:val="center"/>
        <w:outlineLvl w:val="5"/>
      </w:pPr>
      <w:r>
        <w:rPr>
          <w:rFonts w:ascii="仿宋_GB2312" w:hAnsi="仿宋_GB2312" w:cs="仿宋_GB2312" w:eastAsia="仿宋_GB2312"/>
          <w:sz w:val="15"/>
          <w:b/>
        </w:rPr>
        <w:t>西安市文物局</w:t>
      </w:r>
    </w:p>
    <w:p>
      <w:pPr>
        <w:pStyle w:val="null3"/>
        <w:jc w:val="center"/>
        <w:outlineLvl w:val="5"/>
      </w:pPr>
      <w:r>
        <w:rPr>
          <w:rFonts w:ascii="仿宋_GB2312" w:hAnsi="仿宋_GB2312" w:cs="仿宋_GB2312" w:eastAsia="仿宋_GB2312"/>
          <w:sz w:val="15"/>
          <w:b/>
        </w:rPr>
        <w:t>陕西正信招标有限公司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西安市文物局</w:t>
      </w:r>
      <w:r>
        <w:rPr>
          <w:rFonts w:ascii="仿宋_GB2312" w:hAnsi="仿宋_GB2312" w:cs="仿宋_GB2312" w:eastAsia="仿宋_GB2312"/>
        </w:rPr>
        <w:t>委托，拟对</w:t>
      </w:r>
      <w:r>
        <w:rPr>
          <w:rFonts w:ascii="仿宋_GB2312" w:hAnsi="仿宋_GB2312" w:cs="仿宋_GB2312" w:eastAsia="仿宋_GB2312"/>
        </w:rPr>
        <w:t>文物安全卫星遥感监测项目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ZX2025-06-66</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文物安全卫星遥感监测项目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本项目是为构建西安市文物卫星遥感监测体系，拟购买第三方服务，利用卫星遥感技术，对全市66处全国重点文物保护单位和112处省级文物保护单位保护范围和建设控制地带（“以下简称“两线范围”）内地物变化情况进行监测，防范和遏制文物保护单位两线范围内的违法建设。具体内容详见采购文件第三章。</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有效的证照：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经会计师事务所审计的完整的2024年度审计报告（审计报告至少包含三表一注），或提交2025年2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9月1日以来至少一个月的依法缴纳税收的相关凭据（时间以税款所属日期为准、税种须包含增值税或企业所得税），凭据应有税务机关或代收机关的公章或业务专用章；其他组织和自然人提供2024年9月1日以来至少一个月缴纳税收的相关凭据；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9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p>
      <w:pPr>
        <w:pStyle w:val="null3"/>
      </w:pPr>
      <w:r>
        <w:rPr>
          <w:rFonts w:ascii="仿宋_GB2312" w:hAnsi="仿宋_GB2312" w:cs="仿宋_GB2312" w:eastAsia="仿宋_GB2312"/>
        </w:rPr>
        <w:t>6、承诺函：提供具有履行合同所必需的设备和专业技术能力的承诺函；供应商需在项目电子化交易系统中按要求上传相应证明文件并进行电子签章。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7、协商授权委托：法定代表人参加协商的，应出具法定代表人证明书及法定代表人身份证明，且应与营业执照上信息一致；法定代表人授权他人参加协商的，应出具法定代表人证明书、法定代表人授权书及被授权人身份证明；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西安市文物局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029-86788217</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崔文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029-88110800转8020</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采购包1：995,000.00元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采购包1：995,000.00元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代理服务费收费标准：参照国家计委计价格[2002]1980号及发改办价格[2003]857号通知规定收取。</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西安市文物局</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西安市文物局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依据采购文件、响应文件、合同文本、国内相应的标准规范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sz w:val="21"/>
        </w:rPr>
        <w:t>本项目是为构建西安市文物卫星遥感监测体系，拟购买第三方服务，利用卫星遥感技术，对全市</w:t>
      </w:r>
      <w:r>
        <w:rPr>
          <w:rFonts w:ascii="仿宋_GB2312" w:hAnsi="仿宋_GB2312" w:cs="仿宋_GB2312" w:eastAsia="仿宋_GB2312"/>
          <w:sz w:val="21"/>
        </w:rPr>
        <w:t>66</w:t>
      </w:r>
      <w:r>
        <w:rPr>
          <w:rFonts w:ascii="仿宋_GB2312" w:hAnsi="仿宋_GB2312" w:cs="仿宋_GB2312" w:eastAsia="仿宋_GB2312"/>
          <w:sz w:val="21"/>
        </w:rPr>
        <w:t>处全国重点文物保护单位和</w:t>
      </w:r>
      <w:r>
        <w:rPr>
          <w:rFonts w:ascii="仿宋_GB2312" w:hAnsi="仿宋_GB2312" w:cs="仿宋_GB2312" w:eastAsia="仿宋_GB2312"/>
          <w:sz w:val="21"/>
        </w:rPr>
        <w:t>112</w:t>
      </w:r>
      <w:r>
        <w:rPr>
          <w:rFonts w:ascii="仿宋_GB2312" w:hAnsi="仿宋_GB2312" w:cs="仿宋_GB2312" w:eastAsia="仿宋_GB2312"/>
          <w:sz w:val="21"/>
        </w:rPr>
        <w:t>处省级文物保护单位保护范围和建设控制地带（</w:t>
      </w:r>
      <w:r>
        <w:rPr>
          <w:rFonts w:ascii="仿宋_GB2312" w:hAnsi="仿宋_GB2312" w:cs="仿宋_GB2312" w:eastAsia="仿宋_GB2312"/>
          <w:sz w:val="21"/>
        </w:rPr>
        <w:t>“</w:t>
      </w:r>
      <w:r>
        <w:rPr>
          <w:rFonts w:ascii="仿宋_GB2312" w:hAnsi="仿宋_GB2312" w:cs="仿宋_GB2312" w:eastAsia="仿宋_GB2312"/>
          <w:sz w:val="21"/>
        </w:rPr>
        <w:t>以下简称</w:t>
      </w:r>
      <w:r>
        <w:rPr>
          <w:rFonts w:ascii="仿宋_GB2312" w:hAnsi="仿宋_GB2312" w:cs="仿宋_GB2312" w:eastAsia="仿宋_GB2312"/>
          <w:sz w:val="21"/>
        </w:rPr>
        <w:t>“</w:t>
      </w:r>
      <w:r>
        <w:rPr>
          <w:rFonts w:ascii="仿宋_GB2312" w:hAnsi="仿宋_GB2312" w:cs="仿宋_GB2312" w:eastAsia="仿宋_GB2312"/>
          <w:sz w:val="21"/>
        </w:rPr>
        <w:t>两线范围</w:t>
      </w:r>
      <w:r>
        <w:rPr>
          <w:rFonts w:ascii="仿宋_GB2312" w:hAnsi="仿宋_GB2312" w:cs="仿宋_GB2312" w:eastAsia="仿宋_GB2312"/>
          <w:sz w:val="21"/>
        </w:rPr>
        <w:t>”</w:t>
      </w:r>
      <w:r>
        <w:rPr>
          <w:rFonts w:ascii="仿宋_GB2312" w:hAnsi="仿宋_GB2312" w:cs="仿宋_GB2312" w:eastAsia="仿宋_GB2312"/>
          <w:sz w:val="21"/>
        </w:rPr>
        <w:t>）内地物变化情况进行监测，防范和遏制文物保护单位两线范围内的违法建设。具体内容详见采购文件第三章。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995,000.00</w:t>
      </w:r>
    </w:p>
    <w:p>
      <w:pPr>
        <w:pStyle w:val="null3"/>
      </w:pPr>
      <w:r>
        <w:rPr>
          <w:rFonts w:ascii="仿宋_GB2312" w:hAnsi="仿宋_GB2312" w:cs="仿宋_GB2312" w:eastAsia="仿宋_GB2312"/>
        </w:rPr>
        <w:t>采购包最高限价（元）: 995,000.00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西安市文物局文物安全卫星遥感监测项目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标的名称：西安市文物局文物安全卫星遥感监测项目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一、项目</w:t>
            </w:r>
            <w:r>
              <w:rPr>
                <w:rFonts w:ascii="仿宋_GB2312" w:hAnsi="仿宋_GB2312" w:cs="仿宋_GB2312" w:eastAsia="仿宋_GB2312"/>
                <w:sz w:val="21"/>
              </w:rPr>
              <w:t>背景</w:t>
            </w:r>
          </w:p>
          <w:p>
            <w:pPr>
              <w:pStyle w:val="null3"/>
              <w:ind w:firstLine="420"/>
              <w:jc w:val="both"/>
            </w:pPr>
            <w:r>
              <w:rPr>
                <w:rFonts w:ascii="仿宋_GB2312" w:hAnsi="仿宋_GB2312" w:cs="仿宋_GB2312" w:eastAsia="仿宋_GB2312"/>
                <w:sz w:val="21"/>
              </w:rPr>
              <w:t>为深入贯彻落实总书记关于文物保护和文物安全工作重要论述和重要指示批示精神，落实《</w:t>
            </w:r>
            <w:r>
              <w:rPr>
                <w:rFonts w:ascii="仿宋_GB2312" w:hAnsi="仿宋_GB2312" w:cs="仿宋_GB2312" w:eastAsia="仿宋_GB2312"/>
                <w:sz w:val="21"/>
              </w:rPr>
              <w:t>“十四五”文物保护和科技创新规划》以及文物安全防控、大遗址和石窟寺保护等相关专项规划要求，加强卫星遥感、无人机、大数据等科技手段在文物执法督察中的应用，主动发现文物违法线索，西安市文物局拟组织开展不可移动文物遥感监测工作。</w:t>
            </w:r>
          </w:p>
          <w:p>
            <w:pPr>
              <w:pStyle w:val="null3"/>
              <w:jc w:val="both"/>
            </w:pPr>
            <w:r>
              <w:rPr>
                <w:rFonts w:ascii="仿宋_GB2312" w:hAnsi="仿宋_GB2312" w:cs="仿宋_GB2312" w:eastAsia="仿宋_GB2312"/>
                <w:sz w:val="21"/>
              </w:rPr>
              <w:t>二、服务内容</w:t>
            </w:r>
          </w:p>
          <w:p>
            <w:pPr>
              <w:pStyle w:val="null3"/>
              <w:jc w:val="both"/>
            </w:pPr>
            <w:r>
              <w:rPr>
                <w:rFonts w:ascii="仿宋_GB2312" w:hAnsi="仿宋_GB2312" w:cs="仿宋_GB2312" w:eastAsia="仿宋_GB2312"/>
                <w:sz w:val="21"/>
              </w:rPr>
              <w:t>1.1监测对象</w:t>
            </w:r>
          </w:p>
          <w:p>
            <w:pPr>
              <w:pStyle w:val="null3"/>
              <w:ind w:firstLine="420"/>
              <w:jc w:val="both"/>
            </w:pPr>
            <w:r>
              <w:rPr>
                <w:rFonts w:ascii="仿宋_GB2312" w:hAnsi="仿宋_GB2312" w:cs="仿宋_GB2312" w:eastAsia="仿宋_GB2312"/>
                <w:sz w:val="21"/>
              </w:rPr>
              <w:t>西安市</w:t>
            </w:r>
            <w:r>
              <w:rPr>
                <w:rFonts w:ascii="仿宋_GB2312" w:hAnsi="仿宋_GB2312" w:cs="仿宋_GB2312" w:eastAsia="仿宋_GB2312"/>
                <w:sz w:val="21"/>
              </w:rPr>
              <w:t>66处全国重点文物保护单位（简称“国保”）以及112处省级文物保护单位本体、保护范围和建设控制地带。</w:t>
            </w:r>
          </w:p>
          <w:p>
            <w:pPr>
              <w:pStyle w:val="null3"/>
              <w:jc w:val="both"/>
            </w:pPr>
            <w:r>
              <w:rPr>
                <w:rFonts w:ascii="仿宋_GB2312" w:hAnsi="仿宋_GB2312" w:cs="仿宋_GB2312" w:eastAsia="仿宋_GB2312"/>
                <w:sz w:val="21"/>
              </w:rPr>
              <w:t>1.2具体内容及要求</w:t>
            </w:r>
          </w:p>
          <w:p>
            <w:pPr>
              <w:pStyle w:val="null3"/>
              <w:jc w:val="both"/>
            </w:pPr>
            <w:r>
              <w:rPr>
                <w:rFonts w:ascii="仿宋_GB2312" w:hAnsi="仿宋_GB2312" w:cs="仿宋_GB2312" w:eastAsia="仿宋_GB2312"/>
                <w:sz w:val="21"/>
              </w:rPr>
              <w:t>1.2.1 文物两线范围落图依据整理分析</w:t>
            </w:r>
          </w:p>
          <w:p>
            <w:pPr>
              <w:pStyle w:val="null3"/>
              <w:ind w:firstLine="420"/>
              <w:jc w:val="both"/>
            </w:pPr>
            <w:r>
              <w:rPr>
                <w:rFonts w:ascii="仿宋_GB2312" w:hAnsi="仿宋_GB2312" w:cs="仿宋_GB2312" w:eastAsia="仿宋_GB2312"/>
                <w:sz w:val="21"/>
              </w:rPr>
              <w:t>收集整理经省政府依法公布的</w:t>
            </w:r>
            <w:r>
              <w:rPr>
                <w:rFonts w:ascii="仿宋_GB2312" w:hAnsi="仿宋_GB2312" w:cs="仿宋_GB2312" w:eastAsia="仿宋_GB2312"/>
                <w:sz w:val="21"/>
              </w:rPr>
              <w:t>66处国保及112处省级文物保护单位的保护范围和建设控制地带的</w:t>
            </w:r>
            <w:r>
              <w:rPr>
                <w:rFonts w:ascii="仿宋_GB2312" w:hAnsi="仿宋_GB2312" w:cs="仿宋_GB2312" w:eastAsia="仿宋_GB2312"/>
                <w:sz w:val="21"/>
              </w:rPr>
              <w:t>边界范围矢量图层数据（</w:t>
            </w:r>
            <w:r>
              <w:rPr>
                <w:rFonts w:ascii="仿宋_GB2312" w:hAnsi="仿宋_GB2312" w:cs="仿宋_GB2312" w:eastAsia="仿宋_GB2312"/>
                <w:sz w:val="21"/>
              </w:rPr>
              <w:t>SHP文件格式）及省政府公布文件和保护规划文件等文物基础资料</w:t>
            </w:r>
            <w:r>
              <w:rPr>
                <w:rFonts w:ascii="仿宋_GB2312" w:hAnsi="仿宋_GB2312" w:cs="仿宋_GB2312" w:eastAsia="仿宋_GB2312"/>
                <w:sz w:val="21"/>
              </w:rPr>
              <w:t>，明确文物两线落图依据，形成两线落图文件，为下一步两线范围转绘落图提供法律依据。</w:t>
            </w:r>
          </w:p>
          <w:p>
            <w:pPr>
              <w:pStyle w:val="null3"/>
              <w:jc w:val="both"/>
            </w:pPr>
            <w:r>
              <w:rPr>
                <w:rFonts w:ascii="仿宋_GB2312" w:hAnsi="仿宋_GB2312" w:cs="仿宋_GB2312" w:eastAsia="仿宋_GB2312"/>
                <w:sz w:val="21"/>
              </w:rPr>
              <w:t xml:space="preserve">1.2.2 </w:t>
            </w:r>
            <w:r>
              <w:rPr>
                <w:rFonts w:ascii="仿宋_GB2312" w:hAnsi="仿宋_GB2312" w:cs="仿宋_GB2312" w:eastAsia="仿宋_GB2312"/>
                <w:sz w:val="21"/>
              </w:rPr>
              <w:t>开展遥感影像数据加工处理服务</w:t>
            </w:r>
          </w:p>
          <w:p>
            <w:pPr>
              <w:pStyle w:val="null3"/>
              <w:ind w:firstLine="420"/>
              <w:jc w:val="both"/>
            </w:pPr>
            <w:r>
              <w:rPr>
                <w:rFonts w:ascii="仿宋_GB2312" w:hAnsi="仿宋_GB2312" w:cs="仿宋_GB2312" w:eastAsia="仿宋_GB2312"/>
                <w:sz w:val="21"/>
              </w:rPr>
              <w:t>开展卫星遥感影像数据加工处理及服务，对国保单位及省级文物保护单位按照季度开展遥感监测，需采购</w:t>
            </w:r>
            <w:r>
              <w:rPr>
                <w:rFonts w:ascii="仿宋_GB2312" w:hAnsi="仿宋_GB2312" w:cs="仿宋_GB2312" w:eastAsia="仿宋_GB2312"/>
                <w:sz w:val="21"/>
              </w:rPr>
              <w:t>4期2米级卫星遥感影像图，实现遥感数据影像的汇集、正射纠正、影像融合、色彩处理、镶嵌拼接等加工处理的5级卫星遥感影像数据</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1.2.3开展文物地理信息落图工作</w:t>
            </w:r>
          </w:p>
          <w:p>
            <w:pPr>
              <w:pStyle w:val="null3"/>
              <w:ind w:firstLine="420"/>
              <w:jc w:val="both"/>
            </w:pPr>
            <w:r>
              <w:rPr>
                <w:rFonts w:ascii="仿宋_GB2312" w:hAnsi="仿宋_GB2312" w:cs="仿宋_GB2312" w:eastAsia="仿宋_GB2312"/>
                <w:sz w:val="21"/>
              </w:rPr>
              <w:t>开展</w:t>
            </w:r>
            <w:r>
              <w:rPr>
                <w:rFonts w:ascii="仿宋_GB2312" w:hAnsi="仿宋_GB2312" w:cs="仿宋_GB2312" w:eastAsia="仿宋_GB2312"/>
                <w:sz w:val="21"/>
              </w:rPr>
              <w:t>66处国保及112处省级重点文物保护单位地理信息落图工作</w:t>
            </w:r>
            <w:r>
              <w:rPr>
                <w:rFonts w:ascii="仿宋_GB2312" w:hAnsi="仿宋_GB2312" w:cs="仿宋_GB2312" w:eastAsia="仿宋_GB2312"/>
                <w:sz w:val="21"/>
              </w:rPr>
              <w:t>，基于加工处理后的两期影像数据，根据前期文物基础资料梳理出的落图依据，在遥感影像中进行两线范围的转化绘制，制作文物范围</w:t>
            </w:r>
            <w:r>
              <w:rPr>
                <w:rFonts w:ascii="仿宋_GB2312" w:hAnsi="仿宋_GB2312" w:cs="仿宋_GB2312" w:eastAsia="仿宋_GB2312"/>
                <w:sz w:val="21"/>
              </w:rPr>
              <w:t>SHP矢量图层。同时对SHP格式矢量图层进行校验，校验在遥感影像数据上绘制的范围边界是否与文物依法公布文件内容相应周界范围吻合，通过校验工作来保证两线定点落图的准确性。</w:t>
            </w:r>
          </w:p>
          <w:p>
            <w:pPr>
              <w:pStyle w:val="null3"/>
              <w:jc w:val="both"/>
            </w:pPr>
            <w:r>
              <w:rPr>
                <w:rFonts w:ascii="仿宋_GB2312" w:hAnsi="仿宋_GB2312" w:cs="仿宋_GB2312" w:eastAsia="仿宋_GB2312"/>
                <w:sz w:val="21"/>
              </w:rPr>
              <w:t>1.2.4 开展两线范围内的地物变化要素提取工作</w:t>
            </w:r>
          </w:p>
          <w:p>
            <w:pPr>
              <w:pStyle w:val="null3"/>
              <w:ind w:firstLine="420"/>
              <w:jc w:val="both"/>
            </w:pPr>
            <w:r>
              <w:rPr>
                <w:rFonts w:ascii="仿宋_GB2312" w:hAnsi="仿宋_GB2312" w:cs="仿宋_GB2312" w:eastAsia="仿宋_GB2312"/>
                <w:sz w:val="21"/>
              </w:rPr>
              <w:t>开展国保及省级重点文物保护单位</w:t>
            </w:r>
            <w:r>
              <w:rPr>
                <w:rFonts w:ascii="仿宋_GB2312" w:hAnsi="仿宋_GB2312" w:cs="仿宋_GB2312" w:eastAsia="仿宋_GB2312"/>
                <w:sz w:val="21"/>
              </w:rPr>
              <w:t>“两线范围”内变化监测工作，对两线范围内的变化进行解译，提取对比变化图斑。根据近几年遥感解译的类型和解译标志，对提取的大量疑似地物变化图斑逐一进行判定，是否为有效图斑，明确是否需要下发核查。针对需要下发核查的每处图斑，明确解译图斑变化类型、解译新地物类别、图斑位置描述、地图位置、规划类型、卫星遥感影像解译等内容，形成外业核查单并反馈。</w:t>
            </w:r>
          </w:p>
          <w:p>
            <w:pPr>
              <w:pStyle w:val="null3"/>
              <w:jc w:val="both"/>
            </w:pPr>
            <w:r>
              <w:rPr>
                <w:rFonts w:ascii="仿宋_GB2312" w:hAnsi="仿宋_GB2312" w:cs="仿宋_GB2312" w:eastAsia="仿宋_GB2312"/>
                <w:sz w:val="21"/>
              </w:rPr>
              <w:t>1.2.5 开展遥感监测数据统计分析</w:t>
            </w:r>
          </w:p>
          <w:p>
            <w:pPr>
              <w:pStyle w:val="null3"/>
              <w:ind w:firstLine="420"/>
              <w:jc w:val="both"/>
            </w:pPr>
            <w:r>
              <w:rPr>
                <w:rFonts w:ascii="仿宋_GB2312" w:hAnsi="仿宋_GB2312" w:cs="仿宋_GB2312" w:eastAsia="仿宋_GB2312"/>
                <w:sz w:val="21"/>
              </w:rPr>
              <w:t>基于遥感监测成果进行多角度的统计分析，通过多种口径，统计出监测区国保单位本体及两线范围内新增、变化情况，从横向、纵向，多层次、多角度分析进行统计分析，为后续工作提供数据支撑。</w:t>
            </w:r>
          </w:p>
          <w:p>
            <w:pPr>
              <w:pStyle w:val="null3"/>
              <w:jc w:val="both"/>
            </w:pPr>
            <w:r>
              <w:rPr>
                <w:rFonts w:ascii="仿宋_GB2312" w:hAnsi="仿宋_GB2312" w:cs="仿宋_GB2312" w:eastAsia="仿宋_GB2312"/>
                <w:sz w:val="21"/>
              </w:rPr>
              <w:t>1.3 成果要求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1）66处国保及112处省级文物保护单位保护区划地理信息图。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2）对提取的需要派发的地物变化图斑形成外业核查单及外业核查图。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西安市省级以上文物保护单位遥感监测数据统计分析报告。</w:t>
            </w:r>
          </w:p>
          <w:p>
            <w:pPr>
              <w:pStyle w:val="null3"/>
              <w:jc w:val="both"/>
            </w:pPr>
            <w:r>
              <w:rPr>
                <w:rFonts w:ascii="仿宋_GB2312" w:hAnsi="仿宋_GB2312" w:cs="仿宋_GB2312" w:eastAsia="仿宋_GB2312"/>
                <w:sz w:val="21"/>
              </w:rPr>
              <w:t>1.4 进度要求</w:t>
            </w:r>
          </w:p>
          <w:p>
            <w:pPr>
              <w:pStyle w:val="null3"/>
              <w:jc w:val="both"/>
            </w:pPr>
            <w:r>
              <w:rPr>
                <w:rFonts w:ascii="仿宋_GB2312" w:hAnsi="仿宋_GB2312" w:cs="仿宋_GB2312" w:eastAsia="仿宋_GB2312"/>
                <w:sz w:val="21"/>
              </w:rPr>
              <w:t>1.4.1 文物两线范围收集整理</w:t>
            </w:r>
          </w:p>
          <w:p>
            <w:pPr>
              <w:pStyle w:val="null3"/>
              <w:ind w:firstLine="420"/>
              <w:jc w:val="both"/>
            </w:pPr>
            <w:r>
              <w:rPr>
                <w:rFonts w:ascii="仿宋_GB2312" w:hAnsi="仿宋_GB2312" w:cs="仿宋_GB2312" w:eastAsia="仿宋_GB2312"/>
                <w:sz w:val="21"/>
              </w:rPr>
              <w:t>收集整理</w:t>
            </w:r>
            <w:r>
              <w:rPr>
                <w:rFonts w:ascii="仿宋_GB2312" w:hAnsi="仿宋_GB2312" w:cs="仿宋_GB2312" w:eastAsia="仿宋_GB2312"/>
                <w:sz w:val="21"/>
              </w:rPr>
              <w:t>66处国保及112处省级文物保护单位保护范围、建设控制地带两线范围及省政府公布文件和保护规划文件等文物基础资料，明确文物两线落图依据。</w:t>
            </w:r>
          </w:p>
          <w:p>
            <w:pPr>
              <w:pStyle w:val="null3"/>
              <w:jc w:val="both"/>
            </w:pPr>
            <w:r>
              <w:rPr>
                <w:rFonts w:ascii="仿宋_GB2312" w:hAnsi="仿宋_GB2312" w:cs="仿宋_GB2312" w:eastAsia="仿宋_GB2312"/>
                <w:sz w:val="21"/>
              </w:rPr>
              <w:t>1.4.2 开展遥感影像数据加工处理服务</w:t>
            </w:r>
          </w:p>
          <w:p>
            <w:pPr>
              <w:pStyle w:val="null3"/>
              <w:ind w:firstLine="420"/>
              <w:jc w:val="both"/>
            </w:pPr>
            <w:r>
              <w:rPr>
                <w:rFonts w:ascii="仿宋_GB2312" w:hAnsi="仿宋_GB2312" w:cs="仿宋_GB2312" w:eastAsia="仿宋_GB2312"/>
                <w:sz w:val="21"/>
              </w:rPr>
              <w:t>开展卫星遥感影像数据加工处理及服务，对国保单位及省级文物保护单位按照季度开展遥感监测，需采购</w:t>
            </w:r>
            <w:r>
              <w:rPr>
                <w:rFonts w:ascii="仿宋_GB2312" w:hAnsi="仿宋_GB2312" w:cs="仿宋_GB2312" w:eastAsia="仿宋_GB2312"/>
                <w:sz w:val="21"/>
              </w:rPr>
              <w:t>4期2米级卫星遥感影像图，实现遥感数据影像的汇集、正射纠正、影像融合、色彩处理、镶嵌拼接等加工处理的5级卫星遥感影像数据。</w:t>
            </w:r>
          </w:p>
          <w:p>
            <w:pPr>
              <w:pStyle w:val="null3"/>
              <w:jc w:val="both"/>
            </w:pPr>
            <w:r>
              <w:rPr>
                <w:rFonts w:ascii="仿宋_GB2312" w:hAnsi="仿宋_GB2312" w:cs="仿宋_GB2312" w:eastAsia="仿宋_GB2312"/>
                <w:sz w:val="21"/>
              </w:rPr>
              <w:t>1.4.3文物地理信息落图及变化监测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1）开展66处国保及112处省级重点文物保护单位地理信息落图工作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2）分阶段实施3轮次国保及省级文物保护单位监测，对提取的变化图斑进行判定。</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3）提交监测成果。</w:t>
            </w:r>
          </w:p>
          <w:p>
            <w:pPr>
              <w:pStyle w:val="null3"/>
              <w:jc w:val="both"/>
            </w:pPr>
            <w:r>
              <w:rPr>
                <w:rFonts w:ascii="仿宋_GB2312" w:hAnsi="仿宋_GB2312" w:cs="仿宋_GB2312" w:eastAsia="仿宋_GB2312"/>
                <w:sz w:val="21"/>
              </w:rPr>
              <w:t>1.4.4 验收阶段</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1）开展全年监测成果的整理、审核，提交阶段性监测成果。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2）编写西安市省级以上文物保护单位遥感监测数据统计分析报告。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3）项目结项验收。</w:t>
            </w:r>
          </w:p>
          <w:p>
            <w:pPr>
              <w:pStyle w:val="null3"/>
              <w:jc w:val="both"/>
            </w:pPr>
            <w:r>
              <w:rPr>
                <w:rFonts w:ascii="仿宋_GB2312" w:hAnsi="仿宋_GB2312" w:cs="仿宋_GB2312" w:eastAsia="仿宋_GB2312"/>
                <w:sz w:val="21"/>
              </w:rPr>
              <w:t>三、服务期：一年</w:t>
            </w:r>
          </w:p>
          <w:p>
            <w:pPr>
              <w:pStyle w:val="null3"/>
              <w:jc w:val="both"/>
            </w:pPr>
            <w:r>
              <w:rPr>
                <w:rFonts w:ascii="仿宋_GB2312" w:hAnsi="仿宋_GB2312" w:cs="仿宋_GB2312" w:eastAsia="仿宋_GB2312"/>
                <w:sz w:val="21"/>
              </w:rPr>
              <w:t>四、质量管理和监督措施：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1）质量要求：按照合同委托要求，完成约定的文物保护单位保护区划地理信息图，外业核查单及外业核查图，形成统计分析报告。</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2）验收标准：形成的具体工作成果达到合同约定质量要求。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成交供应商须接受采购人的各类检查考核，采购人有权根据有关规定对质量考核标准及奖惩办法作相应的修改。</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如成交供应商提供虚假资料，或未按服务内容实施等，一经发现，采购人有权终止合同，造成重大损失和影响的，经济损失和法律责任由成交供应商承担。</w:t>
            </w:r>
          </w:p>
          <w:p>
            <w:pPr>
              <w:pStyle w:val="null3"/>
              <w:jc w:val="both"/>
            </w:pPr>
            <w:r>
              <w:rPr>
                <w:rFonts w:ascii="仿宋_GB2312" w:hAnsi="仿宋_GB2312" w:cs="仿宋_GB2312" w:eastAsia="仿宋_GB2312"/>
                <w:sz w:val="21"/>
              </w:rPr>
              <w:t>五、付款方式：</w:t>
            </w:r>
          </w:p>
          <w:p>
            <w:pPr>
              <w:pStyle w:val="null3"/>
              <w:jc w:val="both"/>
            </w:pPr>
            <w:r>
              <w:rPr>
                <w:rFonts w:ascii="仿宋_GB2312" w:hAnsi="仿宋_GB2312" w:cs="仿宋_GB2312" w:eastAsia="仿宋_GB2312"/>
                <w:sz w:val="21"/>
              </w:rPr>
              <w:t>1、付款单位：采购人结算，在付款前，按付款金额开具发票给采购人。</w:t>
            </w:r>
          </w:p>
          <w:p>
            <w:pPr>
              <w:pStyle w:val="null3"/>
              <w:jc w:val="both"/>
            </w:pPr>
            <w:r>
              <w:rPr>
                <w:rFonts w:ascii="仿宋_GB2312" w:hAnsi="仿宋_GB2312" w:cs="仿宋_GB2312" w:eastAsia="仿宋_GB2312"/>
                <w:sz w:val="21"/>
              </w:rPr>
              <w:t>2、付款方式：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1）合同签订后30日内，支付合同总价的50%；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2）2025年12月20日前，成交供应商服务质量合格，支付合同总价的50%。</w:t>
            </w:r>
          </w:p>
          <w:p>
            <w:pPr>
              <w:pStyle w:val="null3"/>
              <w:jc w:val="both"/>
            </w:pPr>
            <w:r>
              <w:rPr>
                <w:rFonts w:ascii="仿宋_GB2312" w:hAnsi="仿宋_GB2312" w:cs="仿宋_GB2312" w:eastAsia="仿宋_GB2312"/>
                <w:sz w:val="21"/>
              </w:rPr>
              <w:t>六、质量保证：成交供应商应当保证服务内容质量完全符合采购文件的要求，并对服务内容质量问题负责。</w:t>
            </w:r>
          </w:p>
          <w:p>
            <w:pPr>
              <w:pStyle w:val="null3"/>
              <w:jc w:val="both"/>
            </w:pPr>
            <w:r>
              <w:rPr>
                <w:rFonts w:ascii="仿宋_GB2312" w:hAnsi="仿宋_GB2312" w:cs="仿宋_GB2312" w:eastAsia="仿宋_GB2312"/>
                <w:sz w:val="21"/>
              </w:rPr>
              <w:t>七、内容调整：采购项目执行内容需要调整时，经采购人同意后，可以对相应的内容进行调整，并协商确定价格差额计算方法和负担办法。</w:t>
            </w:r>
          </w:p>
          <w:p>
            <w:pPr>
              <w:pStyle w:val="null3"/>
              <w:jc w:val="both"/>
            </w:pPr>
            <w:r>
              <w:rPr>
                <w:rFonts w:ascii="仿宋_GB2312" w:hAnsi="仿宋_GB2312" w:cs="仿宋_GB2312" w:eastAsia="仿宋_GB2312"/>
                <w:sz w:val="21"/>
              </w:rPr>
              <w:t>八、验收：达到使用条件时由采购人负责组织验收，验收合格后须交接项目实施的全部资料，并填写政府采购项目验收报告单。验收须以合同、采购文件及响应文件、澄清及国家相应的标准、规范等为依据。验收需在供应商提交验收申请后</w:t>
            </w:r>
            <w:r>
              <w:rPr>
                <w:rFonts w:ascii="仿宋_GB2312" w:hAnsi="仿宋_GB2312" w:cs="仿宋_GB2312" w:eastAsia="仿宋_GB2312"/>
                <w:sz w:val="21"/>
              </w:rPr>
              <w:t>15个工作日内完成。</w:t>
            </w:r>
          </w:p>
          <w:p>
            <w:pPr>
              <w:pStyle w:val="null3"/>
              <w:jc w:val="both"/>
            </w:pPr>
            <w:r>
              <w:rPr>
                <w:rFonts w:ascii="仿宋_GB2312" w:hAnsi="仿宋_GB2312" w:cs="仿宋_GB2312" w:eastAsia="仿宋_GB2312"/>
                <w:sz w:val="21"/>
              </w:rPr>
              <w:t>九、合同争议的解决：合同执行中发生争议的，当事人双方应协商解决，协商达不成一致时，可向采购人所在地人民法院提请诉讼。</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西安市文物局项目地点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2025年12月20日前，成交供应商服务质量合格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使用条件时由采购人负责组织验收，验收合格后须交接项目实施的全部资料，并填写政府采购项目验收报告单。验收须以合同、磋商文件及响应文件、澄清及国家相应的标准、规范等为依据。验收需在供应商提交验收申请后15个工作日内完成</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 2、供应商须在领取成交通知书时向代理机构递交密封完好的电子化交易系统生成的纸质版响应文件叁份，其中正本壹份、副本贰份。 3、纸质响应文件采用双面打印并胶装成册，须与电子响应文件一致；若电子响应文件与纸质响应文件不一致的，以电子响应文件为准。 4、纸质文件递交地点：西安市莲湖区环城西路南段元晟合中心6层。5、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2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营业执照等有效的证照</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法人证书/专业服务机构执业许可证/民办非企业单位登记证书，自然人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会计师事务所审计的完整的2024年度审计报告（审计报告至少包含三表一注），或提交2025年2月1日以来基本账户开户银行出具的资信证明；其他组织和自然人提供银行出具的资信证明；附开户许可证或开户备案证明或基本账户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9月1日以来至少一个月的依法缴纳税收的相关凭据（时间以税款所属日期为准、税种须包含增值税或企业所得税），凭据应有税务机关或代收机关的公章或业务专用章；其他组织和自然人提供2024年9月1日以来至少一个月缴纳税收的相关凭据；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9月1日以来至少一个月已缴纳的社会保障资金的证明（社会保障资金职工基本养老保险等缴存单据或社保机构开具的社会保险参保缴费情况证明等）；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协商授权委托</w:t>
            </w:r>
          </w:p>
        </w:tc>
        <w:tc>
          <w:tcPr>
            <w:tcW w:type="dxa" w:w="3322"/>
          </w:tcPr>
          <w:p>
            <w:pPr>
              <w:pStyle w:val="null3"/>
            </w:pPr>
            <w:r>
              <w:rPr>
                <w:rFonts w:ascii="仿宋_GB2312" w:hAnsi="仿宋_GB2312" w:cs="仿宋_GB2312" w:eastAsia="仿宋_GB2312"/>
              </w:rPr>
              <w:t>法定代表人参加协商的，应出具法定代表人证明书及法定代表人身份证明，且应与营业执照上信息一致；法定代表人授权他人参加协商的，应出具法定代表人证明书、法定代表人授权书及被授权人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分项报价表 标的清单 报价表 响应方案 响应函 供应商资格证明文件 服务要求应答表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协商过程中，协商小组认为供应商响应报价有可能影响项目质量或者不能诚信履约的，协商小组应当要求其在合理的时间内在项目电子化交易系统中上传说明材料，必要时提交相关证明材料。供应商提交的相关证明材料，应当加盖供应商（法定名称）电子印章，在协商小组要求的时间内通过项目电子化交易系统进行提交，否则提交的相关证明材料无效。供应商不能证明其响应报价合理性的，协商小组应当将其响应文件作为无效处理。</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供应商按照采购文件要求上传响应文件。</w:t>
            </w:r>
          </w:p>
        </w:tc>
        <w:tc>
          <w:tcPr>
            <w:tcW w:type="dxa" w:w="1661"/>
          </w:tcPr>
          <w:p>
            <w:pPr>
              <w:pStyle w:val="null3"/>
            </w:pPr>
            <w:r>
              <w:rPr>
                <w:rFonts w:ascii="仿宋_GB2312" w:hAnsi="仿宋_GB2312" w:cs="仿宋_GB2312" w:eastAsia="仿宋_GB2312"/>
              </w:rPr>
              <w:t>分项报价表 标的清单 报价表 响应方案 响应函 供应商资格证明文件 服务要求应答表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分项报价表 标的清单 报价表 响应方案 采购标的成本说明、供应商相关专利及专有技术情况说明、同类项目合同价格说明 响应函 供应商资格证明文件 服务要求应答表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响应文件按采购文件要求的语言、计量单位、报价货币；按采购文件要求签署、盖章；供应商名称应填写全称，供应商名称与营业执照一致。</w:t>
            </w:r>
          </w:p>
        </w:tc>
        <w:tc>
          <w:tcPr>
            <w:tcW w:type="dxa" w:w="1661"/>
          </w:tcPr>
          <w:p>
            <w:pPr>
              <w:pStyle w:val="null3"/>
            </w:pPr>
            <w:r>
              <w:rPr>
                <w:rFonts w:ascii="仿宋_GB2312" w:hAnsi="仿宋_GB2312" w:cs="仿宋_GB2312" w:eastAsia="仿宋_GB2312"/>
              </w:rPr>
              <w:t>响应文件封面 分项报价表 标的清单 报价表 采购标的成本说明、供应商相关专利及专有技术情况说明、同类项目合同价格说明 响应函 供应商资格证明文件 服务要求应答表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响应有效期符合采购文件要求。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报价唯一；响应报价不超过采购预算。</w:t>
            </w:r>
          </w:p>
        </w:tc>
        <w:tc>
          <w:tcPr>
            <w:tcW w:type="dxa" w:w="1661"/>
          </w:tcPr>
          <w:p>
            <w:pPr>
              <w:pStyle w:val="null3"/>
            </w:pPr>
            <w:r>
              <w:rPr>
                <w:rFonts w:ascii="仿宋_GB2312" w:hAnsi="仿宋_GB2312" w:cs="仿宋_GB2312" w:eastAsia="仿宋_GB2312"/>
              </w:rPr>
              <w:t>分项报价表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服务期符合采购文件要求。</w:t>
            </w:r>
          </w:p>
        </w:tc>
        <w:tc>
          <w:tcPr>
            <w:tcW w:type="dxa" w:w="1661"/>
          </w:tcPr>
          <w:p>
            <w:pPr>
              <w:pStyle w:val="null3"/>
            </w:pPr>
            <w:r>
              <w:rPr>
                <w:rFonts w:ascii="仿宋_GB2312" w:hAnsi="仿宋_GB2312" w:cs="仿宋_GB2312" w:eastAsia="仿宋_GB2312"/>
              </w:rPr>
              <w:t>标的清单 报价表 服务要求应答表</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详见附件：供应商资格证明文件</w:t>
      </w:r>
    </w:p>
    <w:p>
      <w:pPr>
        <w:pStyle w:val="null3"/>
        <w:ind w:firstLine="960"/>
      </w:pPr>
      <w:r>
        <w:rPr>
          <w:rFonts w:ascii="仿宋_GB2312" w:hAnsi="仿宋_GB2312" w:cs="仿宋_GB2312" w:eastAsia="仿宋_GB2312"/>
        </w:rPr>
        <w:t>详见附件：服务要求应答表</w:t>
      </w:r>
    </w:p>
    <w:p>
      <w:pPr>
        <w:pStyle w:val="null3"/>
        <w:ind w:firstLine="960"/>
      </w:pPr>
      <w:r>
        <w:rPr>
          <w:rFonts w:ascii="仿宋_GB2312" w:hAnsi="仿宋_GB2312" w:cs="仿宋_GB2312" w:eastAsia="仿宋_GB2312"/>
        </w:rPr>
        <w:t>详见附件：响应方案</w:t>
      </w:r>
    </w:p>
    <w:p>
      <w:pPr>
        <w:pStyle w:val="null3"/>
        <w:ind w:firstLine="960"/>
      </w:pPr>
      <w:r>
        <w:rPr>
          <w:rFonts w:ascii="仿宋_GB2312" w:hAnsi="仿宋_GB2312" w:cs="仿宋_GB2312" w:eastAsia="仿宋_GB2312"/>
        </w:rPr>
        <w:t>详见附件：采购标的成本说明、供应商相关专利及专有技术情况说明、同类项目合同价格说明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