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版本号：YMD-2022152XM-620250812001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核心系统维保项目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YMD-2022152XM-6</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永明项目管理有限公司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永明项目管理有限公司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核心系统维保项目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YMD-2022152XM-6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核心系统维保项目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针对医院业务的特殊性（要求信息系统要保证7*24小时不间断运行），根据西安市儿童医院实际需求，同时结合西安市儿童医院的临床特色，整合运维服务资源，规范运维行为，确保服务质量，形成统一管理、集约高效的一体化运维体系，完成西安市儿童医院2025年度信息系统维保工作，从而保障西安市儿童医院应用系统安全、稳定、高效、持续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采购包1（西安市儿童医院核心系统维保项目）：属于专门面向中小企业采购。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永明项目管理有限公司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陕西省西咸新区沣西新城秦皇大道南段尚业路总部经济园6号楼516室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杨璐源、魏显茏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17795617592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支付成交服务费，服务费由采购人与采购代理机构约定：按照《招标代理服务收费管理暂行办法》（计价格【2002】1980号）中代理服务收费标准基础上，以固定下浮百分比进行收费，具体如下： 中标价≤1000万元，按照标准下浮20%收取； 中标价＞1000万元，按照标准下浮30%收取。 注：招标代理服务费按照上述标准按标段计算，标段超过壹拾伍万元的，按照壹拾伍万元收取。由中标供应商在领取中标通知书前向招标代理机构一次性支付。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永明项目管理有限公司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永明项目管理有限公司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永明项目管理有限公司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联系人：杨璐源</w:t>
      </w:r>
    </w:p>
    <w:p>
      <w:pPr>
        <w:pStyle w:val="null3"/>
      </w:pPr>
      <w:r>
        <w:rPr>
          <w:rFonts w:ascii="仿宋_GB2312" w:hAnsi="仿宋_GB2312" w:cs="仿宋_GB2312" w:eastAsia="仿宋_GB2312"/>
        </w:rPr>
        <w:t>联系电话：17795617592</w:t>
      </w:r>
    </w:p>
    <w:p>
      <w:pPr>
        <w:pStyle w:val="null3"/>
      </w:pPr>
      <w:r>
        <w:rPr>
          <w:rFonts w:ascii="仿宋_GB2312" w:hAnsi="仿宋_GB2312" w:cs="仿宋_GB2312" w:eastAsia="仿宋_GB2312"/>
        </w:rPr>
        <w:t>地址：陕西省西安市旺座曲江招商中心M座25楼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医院业务的特殊性（要求信息系统要保证7*24小时不间断运行），根据西安市儿童医院实际需求，同时结合西安市儿童医院的临床特色，整合运维服务资源，规范运维行为，确保服务质量，形成统一管理、集约高效的一体化运维体系，完成西安市儿童医院2025年度信息系统维保工作，从而保障西安市儿童医院应用系统安全、稳定、高效、持续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核心系统维保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标的名称：核心系统维保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技术要求</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服务范围内软件日常应用问题处理；</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每季度进行一次数据完整性及安全性验证；</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每季度进行一次数据库调整优化，数据库正常访问速度应维持在</w:t>
            </w:r>
            <w:r>
              <w:rPr>
                <w:rFonts w:ascii="仿宋_GB2312" w:hAnsi="仿宋_GB2312" w:cs="仿宋_GB2312" w:eastAsia="仿宋_GB2312"/>
                <w:sz w:val="21"/>
                <w:color w:val="000000"/>
              </w:rPr>
              <w:t>1～8秒；</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在本项目维保服务期间，我院变更或新购化验设备按医院要求接入</w:t>
            </w:r>
            <w:r>
              <w:rPr>
                <w:rFonts w:ascii="仿宋_GB2312" w:hAnsi="仿宋_GB2312" w:cs="仿宋_GB2312" w:eastAsia="仿宋_GB2312"/>
                <w:sz w:val="21"/>
                <w:color w:val="000000"/>
              </w:rPr>
              <w:t>Lis系统，其费用已包含在本项目中；</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在本项目运维服务期间，我院变更或新购影像设备按医院要求接入</w:t>
            </w:r>
            <w:r>
              <w:rPr>
                <w:rFonts w:ascii="仿宋_GB2312" w:hAnsi="仿宋_GB2312" w:cs="仿宋_GB2312" w:eastAsia="仿宋_GB2312"/>
                <w:sz w:val="21"/>
                <w:color w:val="000000"/>
              </w:rPr>
              <w:t>PACS/Ris系统，其费用已包含在本项目中；</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配合医院完成电子病历等级测评工作；</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配合医院完成互联互通等级测评工作；</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配合医院完成信息安全等保测评工作；</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配合医院完成三甲复审工作；</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完成医院医保接口处理工作；</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完成卫生主管部门政策性业务</w:t>
            </w:r>
            <w:r>
              <w:rPr>
                <w:rFonts w:ascii="仿宋_GB2312" w:hAnsi="仿宋_GB2312" w:cs="仿宋_GB2312" w:eastAsia="仿宋_GB2312"/>
                <w:sz w:val="21"/>
                <w:color w:val="000000"/>
              </w:rPr>
              <w:t>/数据处理工作；</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配合医院完成数据对接工作。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color w:val="000000"/>
              </w:rPr>
              <w:t>服务范围：基础模块、住院医生站、住院病历系统、临床路径系统、门诊医生站、门诊病历、随访系统、一卡通系统、智能病历系统、移动医护、实时审方系统、集成平台（含</w:t>
            </w:r>
            <w:r>
              <w:rPr>
                <w:rFonts w:ascii="仿宋_GB2312" w:hAnsi="仿宋_GB2312" w:cs="仿宋_GB2312" w:eastAsia="仿宋_GB2312"/>
                <w:sz w:val="21"/>
                <w:color w:val="000000"/>
              </w:rPr>
              <w:t>CDR、ODR）、实验室管理系统、输血闭环改造、集中检查预约、专业版PACS系统，医院现有接口，国家政策类接口等维保服务；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服务要求</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1.保证西安市儿童医院系统可靠、高效、持续、安全运行；</w:t>
            </w:r>
          </w:p>
          <w:p>
            <w:pPr>
              <w:pStyle w:val="null3"/>
              <w:jc w:val="both"/>
            </w:pPr>
            <w:r>
              <w:rPr>
                <w:rFonts w:ascii="仿宋_GB2312" w:hAnsi="仿宋_GB2312" w:cs="仿宋_GB2312" w:eastAsia="仿宋_GB2312"/>
                <w:sz w:val="21"/>
                <w:color w:val="000000"/>
              </w:rPr>
              <w:t>2.本项目服务范围内软件系统出现故障无法运行时，根据故障类型：</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1）一般故障：要求中标人8小时内予以响应，24小时内解决问题。</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严重故障：主要窗口部门异常，医院业务基本不受影响，要求中标人2小时内予以相应解决，若主要窗口部门瘫痪，不能满足正常需求：要求中标人1小时内予以响应，如1小时内无法解决，要求中标人指派高技术工程师2小时内到达现场，2小时内解决问题；</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3）重大故障：如服务器故障，全院瘫痪：要求中标人即时响应，如驻场人员半小时内无法解决，要求更高技术工程师协助，要求协助的工程师2小时内到达现场，6小时内解决问题；</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color w:val="000000"/>
              </w:rPr>
              <w:t>人员配置要求</w:t>
            </w:r>
          </w:p>
          <w:p>
            <w:pPr>
              <w:pStyle w:val="null3"/>
              <w:ind w:firstLine="420"/>
            </w:pPr>
            <w:r>
              <w:rPr>
                <w:rFonts w:ascii="仿宋_GB2312" w:hAnsi="仿宋_GB2312" w:cs="仿宋_GB2312" w:eastAsia="仿宋_GB2312"/>
                <w:sz w:val="21"/>
                <w:color w:val="000000"/>
              </w:rPr>
              <w:t>要求中标人为本项目配备不少于</w:t>
            </w:r>
            <w:r>
              <w:rPr>
                <w:rFonts w:ascii="仿宋_GB2312" w:hAnsi="仿宋_GB2312" w:cs="仿宋_GB2312" w:eastAsia="仿宋_GB2312"/>
                <w:sz w:val="21"/>
                <w:color w:val="000000"/>
              </w:rPr>
              <w:t>2人的驻场工程师提供驻场专门服务，驻场工程师应具备年限不少于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年的医疗行业服务相应的专业技术及丰富的工作技能和工作经验，并为甲方提供驻场人员对应工作经验的依据，对服务范围内甲方要求进行</w:t>
            </w:r>
            <w:r>
              <w:rPr>
                <w:rFonts w:ascii="仿宋_GB2312" w:hAnsi="仿宋_GB2312" w:cs="仿宋_GB2312" w:eastAsia="仿宋_GB2312"/>
                <w:sz w:val="21"/>
                <w:color w:val="000000"/>
              </w:rPr>
              <w:t>7*24小时响应服务，驻场人员更换需征求甲方同意，原则上不允许一年超过两次更换人员。</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b/>
                <w:color w:val="000000"/>
              </w:rPr>
              <w:t>商务要求</w:t>
            </w:r>
          </w:p>
          <w:p>
            <w:pPr>
              <w:pStyle w:val="null3"/>
            </w:pPr>
            <w:r>
              <w:rPr>
                <w:rFonts w:ascii="仿宋_GB2312" w:hAnsi="仿宋_GB2312" w:cs="仿宋_GB2312" w:eastAsia="仿宋_GB2312"/>
                <w:sz w:val="21"/>
                <w:b/>
                <w:color w:val="000000"/>
              </w:rPr>
              <w:t>1.服务期限：</w:t>
            </w:r>
            <w:r>
              <w:rPr>
                <w:rFonts w:ascii="仿宋_GB2312" w:hAnsi="仿宋_GB2312" w:cs="仿宋_GB2312" w:eastAsia="仿宋_GB2312"/>
                <w:sz w:val="21"/>
                <w:color w:val="000000"/>
              </w:rPr>
              <w:t>合同签订之日起</w:t>
            </w:r>
            <w:r>
              <w:rPr>
                <w:rFonts w:ascii="仿宋_GB2312" w:hAnsi="仿宋_GB2312" w:cs="仿宋_GB2312" w:eastAsia="仿宋_GB2312"/>
                <w:sz w:val="21"/>
                <w:color w:val="000000"/>
              </w:rPr>
              <w:t>1年</w:t>
            </w:r>
          </w:p>
          <w:p>
            <w:pPr>
              <w:pStyle w:val="null3"/>
            </w:pPr>
            <w:r>
              <w:rPr>
                <w:rFonts w:ascii="仿宋_GB2312" w:hAnsi="仿宋_GB2312" w:cs="仿宋_GB2312" w:eastAsia="仿宋_GB2312"/>
                <w:sz w:val="21"/>
                <w:b/>
                <w:color w:val="000000"/>
              </w:rPr>
              <w:t>2.服务地点</w:t>
            </w:r>
            <w:r>
              <w:rPr>
                <w:rFonts w:ascii="仿宋_GB2312" w:hAnsi="仿宋_GB2312" w:cs="仿宋_GB2312" w:eastAsia="仿宋_GB2312"/>
                <w:sz w:val="21"/>
                <w:color w:val="000000"/>
              </w:rPr>
              <w:t>：</w:t>
            </w:r>
            <w:r>
              <w:rPr>
                <w:rFonts w:ascii="仿宋_GB2312" w:hAnsi="仿宋_GB2312" w:cs="仿宋_GB2312" w:eastAsia="仿宋_GB2312"/>
                <w:sz w:val="21"/>
                <w:color w:val="000000"/>
              </w:rPr>
              <w:t>西安市儿童医院指定地点</w:t>
            </w:r>
          </w:p>
          <w:p>
            <w:pPr>
              <w:pStyle w:val="null3"/>
            </w:pPr>
            <w:r>
              <w:rPr>
                <w:rFonts w:ascii="仿宋_GB2312" w:hAnsi="仿宋_GB2312" w:cs="仿宋_GB2312" w:eastAsia="仿宋_GB2312"/>
                <w:sz w:val="21"/>
                <w:b/>
                <w:color w:val="000000"/>
              </w:rPr>
              <w:t>3.支付方式：</w:t>
            </w:r>
            <w:r>
              <w:rPr>
                <w:rFonts w:ascii="仿宋_GB2312" w:hAnsi="仿宋_GB2312" w:cs="仿宋_GB2312" w:eastAsia="仿宋_GB2312"/>
                <w:sz w:val="21"/>
                <w:color w:val="000000"/>
              </w:rPr>
              <w:t>按</w:t>
            </w:r>
            <w:r>
              <w:rPr>
                <w:rFonts w:ascii="仿宋_GB2312" w:hAnsi="仿宋_GB2312" w:cs="仿宋_GB2312" w:eastAsia="仿宋_GB2312"/>
                <w:sz w:val="21"/>
                <w:color w:val="000000"/>
              </w:rPr>
              <w:t>季度</w:t>
            </w:r>
            <w:r>
              <w:rPr>
                <w:rFonts w:ascii="仿宋_GB2312" w:hAnsi="仿宋_GB2312" w:cs="仿宋_GB2312" w:eastAsia="仿宋_GB2312"/>
                <w:sz w:val="21"/>
                <w:color w:val="000000"/>
              </w:rPr>
              <w:t>付款</w:t>
            </w:r>
          </w:p>
          <w:p>
            <w:pPr>
              <w:pStyle w:val="null3"/>
            </w:pPr>
            <w:r>
              <w:rPr>
                <w:rFonts w:ascii="仿宋_GB2312" w:hAnsi="仿宋_GB2312" w:cs="仿宋_GB2312" w:eastAsia="仿宋_GB2312"/>
                <w:sz w:val="21"/>
                <w:b/>
                <w:color w:val="000000"/>
              </w:rPr>
              <w:t>4.支付约定：</w:t>
            </w:r>
            <w:r>
              <w:rPr>
                <w:rFonts w:ascii="仿宋_GB2312" w:hAnsi="仿宋_GB2312" w:cs="仿宋_GB2312" w:eastAsia="仿宋_GB2312"/>
                <w:sz w:val="21"/>
                <w:color w:val="000000"/>
              </w:rPr>
              <w:t>自合同签订日起，每满三个月为一个季度。季度服务期满后，乙方需将本季度日常维护记录、定期巡查记录、故障排查记录及付款申请等单据装订成册提交甲方；甲方核查确认服务内容无误且文件完整后，乙方申请付款，甲方于 20 个工作日内支付合同总价的 25%。</w:t>
            </w:r>
          </w:p>
          <w:p>
            <w:pPr>
              <w:pStyle w:val="null3"/>
            </w:pPr>
            <w:r>
              <w:rPr>
                <w:rFonts w:ascii="仿宋_GB2312" w:hAnsi="仿宋_GB2312" w:cs="仿宋_GB2312" w:eastAsia="仿宋_GB2312"/>
                <w:sz w:val="21"/>
                <w:color w:val="000000"/>
              </w:rPr>
              <w:t>服务期不满一个季度的，按实际服务月份结算；甲、乙双方可评估提前结束到期维保。</w:t>
            </w:r>
          </w:p>
          <w:p>
            <w:pPr>
              <w:pStyle w:val="null3"/>
            </w:pPr>
            <w:r>
              <w:rPr>
                <w:rFonts w:ascii="仿宋_GB2312" w:hAnsi="仿宋_GB2312" w:cs="仿宋_GB2312" w:eastAsia="仿宋_GB2312"/>
                <w:sz w:val="21"/>
                <w:b/>
                <w:color w:val="000000"/>
              </w:rPr>
              <w:t>5.违约责任及解决争议的方法</w:t>
            </w:r>
          </w:p>
          <w:p>
            <w:pPr>
              <w:pStyle w:val="null3"/>
            </w:pPr>
            <w:r>
              <w:rPr>
                <w:rFonts w:ascii="仿宋_GB2312" w:hAnsi="仿宋_GB2312" w:cs="仿宋_GB2312" w:eastAsia="仿宋_GB2312"/>
                <w:sz w:val="21"/>
                <w:color w:val="000000"/>
              </w:rPr>
              <w:t>（1）合同签订后，若实施方提供产品（服务）与投标响应文件不符，招标方有权终止合同并要求实施方返还全部已支付款项。</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双方因履行本合同而发生的争议，应协商解决。协商不成，依法向人民法院提交诉讼。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中标人为本项目配备不少于2人的驻场工程师提供驻场专门服务，驻场工程师应具备年限不少于3年的医疗行业服务相应的专业技术及丰富的工作技能和工作经验，并为甲方提供驻场人员对应工作经验的依据，对服务范围内甲方要求进行7*24小时响应服务，驻场人员更换需征求甲方同意，原则上不允许一年超过两次更换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现行的国家标准或国家行政部门颁布的法律法规、规章制度等，没有国家标准的可参考行业标准，如遇国家或行业标准更新，按新标准执行。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日起，每满三个月为一个季度。第一季度服务期满后，乙方需将本季度日常维护记录、定期巡查记录、故障排查记录及付款申请等单据装订成册提交甲方；甲方核查确认服务内容无误且文件完整后，乙方申请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日起，每满三个月为一个季度。第二季度服务期满后，乙方需将本季度日常维护记录、定期巡查记录、故障排查记录及付款申请等单据装订成册提交甲方；甲方核查确认服务内容无误且文件完整后，乙方申请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日起，每满三个月为一个季度。第三季度服务期满后，乙方需将本季度日常维护记录、定期巡查记录、故障排查记录及付款申请等单据装订成册提交甲方；甲方核查确认服务内容无误且文件完整后，乙方申请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日起，每满三个月为一个季度。第四季度服务期满后，乙方需将本季度日常维护记录、定期巡查记录、故障排查记录及付款申请等单据装订成册提交甲方；甲方核查确认服务内容无误且文件完整后，乙方申请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1.合同签订后，若实施方提供产品（服务）与投标响应文件不符，招标方有权终止合同并要求实施方返还全部已支付款项。 2.双方因履行本合同而发生的争议，应协商解决。协商不成，依法向人民法院提交诉讼。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1.成交供应商在领取中标通知书时提供响应文件一正一副。 2.供应商报价不允许超过最高限价。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 2、具有独立承担民事责任能力的法人、其他组织或自然人，提供合法有效的统一社会信用代码营业执照（事业单位提供事业单位法人证书，自然人应提供身份证）； 3、提供2024年度经审计的财务会计报告或提交投标文件截止时间三个月内其基本账户开户银行出具的资信证明（附基本存款账户信息）； 4、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 5、提交投标文件截止时间前一年内至少一个月的纳税证明或完税证明（增值税、企业所得税至少提供一种），纳税证明或完税证明上应有代收机构或税务机关的公章或业务专用章。依法免税或无须缴纳税收的单位应提供相应证明文件； 6、参加本次政府采购活动前3年内在经营活动中没有重大违法记录，以及未被列入失信被执行人、重大税收违法案件当事人名单、政府采购严重违法失信行为记录名单的书面声明； 7、供应商须提供具有履行合同所必需的设备和专业技术能力的承诺； 8、供应商应授权合法的人员参与磋商全过程，其中法定代表人直接磋商，须附法定代表人身份证明书。法定代表人授权代表参加磋商的，须附法定代表人授权书； 9、供应商应在信用中国、中国执行信息公开网和中国政府采购网（www.ccgp.gov.cn）可查询信用记录，并且未被列入失信被执行人、重大税收违法案件当事人名单、政府采购严重违法失信行为记录名单等，以磋商当日现场查询结果截图形式留存。</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响应文件编制、签署盖章</w:t>
            </w:r>
          </w:p>
        </w:tc>
        <w:tc>
          <w:tcPr>
            <w:tcW w:type="dxa" w:w="3322"/>
          </w:tcPr>
          <w:p>
            <w:pPr>
              <w:pStyle w:val="null3"/>
            </w:pPr>
            <w:r>
              <w:rPr>
                <w:rFonts w:ascii="仿宋_GB2312" w:hAnsi="仿宋_GB2312" w:cs="仿宋_GB2312" w:eastAsia="仿宋_GB2312"/>
              </w:rPr>
              <w:t>按磋商文件格式编制，并按要求加盖了供应商公章和有法定代表人/企业负责人或其授权代表签字或加盖人名章。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服务方案 标的清单 报价表 服务内容及服务邀请应答表.docx 商务应答表.docx 响应函 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供应商针对本项目制定服务方案，包括但不限于 ①日常问题处理；②数据库更新优化；③数据对接等内容。 二、赋分标准 1.完整性： （1）方案内容完整详细，对采购需求所要求的全部内容有明确呼应得10分； （2）方案内容详细，对采购需求所要求的部分内容有明确呼应得6分； （3）方案内容不完整、结构不清晰，未明确针对采购需求所要求的内容有明确呼应得3分； 2.针对性： （1）方案内容结构清晰、针对性强得10分； （2）方案内容结构较清晰、针对性一般得6分； （3）方案内容结构不清晰、针对性弱得3分； 3.可实施性 （1）方案内容能充分结合采购人需求现状，可实施性强得10分； （2）方案内容结合了采购人需求现状，可实施性一般得6分； （3）方案内容未结合采购人需求现状，可实施性较差得3分；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供应商针对本项目配备具备相关经验的技术人员，包括但不限于：①人员的配置②职责分工③专业能力及工作经验。 二、赋分标准 1.合理性 （1）人员配置齐全且合理得6分； （2）人员配置基本齐全且较为合理得4分； （3）人员配置不齐全且不合理得2分； 2.明确性 （1）人员职责分工明确得6分； （2）人员职责分工较明确得4分； （3）人员职责分工不明确得2分； 3.专业性 （1）人员具备专业能力并具备丰富的工作经验得6分； （2）人员具备专业能力并具备工作经验得4分； （3）人员不具备专业能力并无工作经验得2分；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一、评审内容 供应商针对本项目的突发事件提供相关方案，包括但不限于：①应急措施②解决方案。 二、赋分标准 1.完整性： （1）方案内容完整详细得6分； （2）方案内容较完整详细得4分； （3）方案内容不完整、不详细得2分； 2.针对性： （1）方案内容结构清晰、针对性强得6分； （2）方案内容结构较清晰、针对性一般得4分； （3）方案内容结构不清晰、针对性弱得2分； 3.可实施性 （1）方案内容能充分结合采购人情况，可实施性强得6分； （2）方案内容结合了采购人情况，可实施性一般得4分； （3）方案内容未结合采购人情况，可实施性较差得2分；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保密工作措施</w:t>
            </w:r>
          </w:p>
        </w:tc>
        <w:tc>
          <w:tcPr>
            <w:tcW w:type="dxa" w:w="2492"/>
          </w:tcPr>
          <w:p>
            <w:pPr>
              <w:pStyle w:val="null3"/>
            </w:pPr>
            <w:r>
              <w:rPr>
                <w:rFonts w:ascii="仿宋_GB2312" w:hAnsi="仿宋_GB2312" w:cs="仿宋_GB2312" w:eastAsia="仿宋_GB2312"/>
              </w:rPr>
              <w:t>一、评审内容 保密工作措施包括但不限于：①保密措施、②保密管理制度、③保密档案管理措施、④保密人员及职责。 二、赋分标准 1.完整性 （1）内容详细、全面得4分； （2）内容单一、有缺失得2分； 2.可实施性 （1）内容可实施性强得4分； （2）内容可实施性一般得2分。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计算机软件著作权登记证书</w:t>
            </w:r>
          </w:p>
        </w:tc>
        <w:tc>
          <w:tcPr>
            <w:tcW w:type="dxa" w:w="2492"/>
          </w:tcPr>
          <w:p>
            <w:pPr>
              <w:pStyle w:val="null3"/>
            </w:pPr>
            <w:r>
              <w:rPr>
                <w:rFonts w:ascii="仿宋_GB2312" w:hAnsi="仿宋_GB2312" w:cs="仿宋_GB2312" w:eastAsia="仿宋_GB2312"/>
              </w:rPr>
              <w:t>（1）具备计算机软件著作权登记证书：HIS相关内容，得3分； （2）具备计算机软件著作权登记证书：集成平台系统软件模块相关内容，得3分；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供应商具备2023年1月1日至今，系统维保服务项目业绩，业绩以合同或中标（成交）通知书扫描件为依据，每提供一个计2分，满分10分。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满足磋商文件资格性和符合性要求且提交最后报价最低的供应商的价格为磋商基准价，其价格分为满分。其他供应商的价格分统一按照下列公式计算：磋商报价得分=（磋商基准价/最后磋商报价）×价格分值； 本项目专门面向中小企业采购，故不再进行价格优惠扣除。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