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版本号：QR-ZC-202503020250811001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2025年度信息系统软件维保和后续开发服务采购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QR-ZC-2025030</w:t>
      </w:r>
      <w:r>
        <w:br/>
      </w:r>
      <w:r>
        <w:br/>
      </w:r>
      <w:r>
        <w:br/>
      </w:r>
    </w:p>
    <w:p>
      <w:pPr>
        <w:pStyle w:val="null3"/>
        <w:jc w:val="center"/>
        <w:outlineLvl w:val="2"/>
      </w:pPr>
      <w:r>
        <w:rPr>
          <w:rFonts w:ascii="仿宋_GB2312" w:hAnsi="仿宋_GB2312" w:cs="仿宋_GB2312" w:eastAsia="仿宋_GB2312"/>
          <w:sz w:val="28"/>
          <w:b/>
        </w:rPr>
        <w:t>西安住房公积金管理中心（本级）</w:t>
      </w:r>
    </w:p>
    <w:p>
      <w:pPr>
        <w:pStyle w:val="null3"/>
        <w:jc w:val="center"/>
        <w:outlineLvl w:val="2"/>
      </w:pPr>
      <w:r>
        <w:rPr>
          <w:rFonts w:ascii="仿宋_GB2312" w:hAnsi="仿宋_GB2312" w:cs="仿宋_GB2312" w:eastAsia="仿宋_GB2312"/>
          <w:sz w:val="28"/>
          <w:b/>
        </w:rPr>
        <w:t>陕西诠睿项目管理有限公司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陕西诠睿项目管理有限公司</w:t>
      </w:r>
      <w:r>
        <w:rPr>
          <w:rFonts w:ascii="仿宋_GB2312" w:hAnsi="仿宋_GB2312" w:cs="仿宋_GB2312" w:eastAsia="仿宋_GB2312"/>
        </w:rPr>
        <w:t>（以下简称“代理机构”）受</w:t>
      </w:r>
      <w:r>
        <w:rPr>
          <w:rFonts w:ascii="仿宋_GB2312" w:hAnsi="仿宋_GB2312" w:cs="仿宋_GB2312" w:eastAsia="仿宋_GB2312"/>
        </w:rPr>
        <w:t>西安住房公积金管理中心（本级）</w:t>
      </w:r>
      <w:r>
        <w:rPr>
          <w:rFonts w:ascii="仿宋_GB2312" w:hAnsi="仿宋_GB2312" w:cs="仿宋_GB2312" w:eastAsia="仿宋_GB2312"/>
        </w:rPr>
        <w:t>委托，拟对</w:t>
      </w:r>
      <w:r>
        <w:rPr>
          <w:rFonts w:ascii="仿宋_GB2312" w:hAnsi="仿宋_GB2312" w:cs="仿宋_GB2312" w:eastAsia="仿宋_GB2312"/>
        </w:rPr>
        <w:t>2025年度信息系统软件维保和后续开发服务采购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QR-ZC-2025030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2025年度信息系统软件维保和后续开发服务采购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信息系统软件维保和后续开发服务采用整体购买服务的方式进行采购，数据库软件由供应商进行维护，且供应商提供后续数据库软件转换服务。项目内容包括数据库软件维护服务，业务系统所使用到的基础软件维护服务，业务系统的维护、迭代升级开发服务和业务系统安全提升服务，数据管理运维服务，中心内网通信软件维护服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2、社会保障资金缴纳证明：供应商提供2024年8月至今任意1个月已缴纳的社会保障资金缴存单据或社保机构开具的社会保险参保缴费情况证明；</w:t>
      </w:r>
    </w:p>
    <w:p>
      <w:pPr>
        <w:pStyle w:val="null3"/>
      </w:pPr>
      <w:r>
        <w:rPr>
          <w:rFonts w:ascii="仿宋_GB2312" w:hAnsi="仿宋_GB2312" w:cs="仿宋_GB2312" w:eastAsia="仿宋_GB2312"/>
        </w:rPr>
        <w:t>3、税收缴纳证明：供应商提供本单位2024年08月至今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5、投标声明书：供应商应出具参加本次政府采购活动前3年内在经营活动中没有重大违法违纪书面声明；</w:t>
      </w:r>
    </w:p>
    <w:p>
      <w:pPr>
        <w:pStyle w:val="null3"/>
      </w:pPr>
      <w:r>
        <w:rPr>
          <w:rFonts w:ascii="仿宋_GB2312" w:hAnsi="仿宋_GB2312" w:cs="仿宋_GB2312" w:eastAsia="仿宋_GB2312"/>
        </w:rPr>
        <w:t>6、具备履行合同所必需的设备和专业技术能力的承诺：具备履行合同所必需的设备和专业技术能力的承诺；</w:t>
      </w:r>
    </w:p>
    <w:p>
      <w:pPr>
        <w:pStyle w:val="null3"/>
      </w:pPr>
      <w:r>
        <w:rPr>
          <w:rFonts w:ascii="仿宋_GB2312" w:hAnsi="仿宋_GB2312" w:cs="仿宋_GB2312" w:eastAsia="仿宋_GB2312"/>
        </w:rPr>
        <w:t>7、法定代表人委托授权书\身份证明：投标人应授权合法的人员参加投标全过程，其中法定代表人直接参加投标的，须出具法定代表人身份证明，并与营业执照上信息一致。法定代表人授权代表参加投标的，须出具法定代表人授权委托书。（其他组织或自然人参照执行）；</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开标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9、非联合体声明：供应商提供非联合体书面声明；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西安住房公积金管理中心（本级）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陕西省西安市碑林区振兴路137号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029-89650830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陕西诠睿项目管理有限公司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陕西省西安市雁塔区小寨街道momopark写字楼7号楼一单元1502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15609208989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采购包1：2,928,854.00元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8000元按照8000元收取。具体收费金额在成交公告中公布。 2.代理服务费缴纳账户信息： 户名：陕西诠睿项目管理有限公司 开户行名称：中国建设银行股份有限公司西安莲湖路支行 账号：61050171390000000144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西安住房公积金管理中心（本级）</w:t>
      </w:r>
      <w:r>
        <w:rPr>
          <w:rFonts w:ascii="仿宋_GB2312" w:hAnsi="仿宋_GB2312" w:cs="仿宋_GB2312" w:eastAsia="仿宋_GB2312"/>
        </w:rPr>
        <w:t>和</w:t>
      </w:r>
      <w:r>
        <w:rPr>
          <w:rFonts w:ascii="仿宋_GB2312" w:hAnsi="仿宋_GB2312" w:cs="仿宋_GB2312" w:eastAsia="仿宋_GB2312"/>
        </w:rPr>
        <w:t>陕西诠睿项目管理有限公司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西安住房公积金管理中心（本级）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陕西诠睿项目管理有限公司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西安住房公积金管理中心（本级）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陕西诠睿项目管理有限公司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联系人：王老师</w:t>
      </w:r>
    </w:p>
    <w:p>
      <w:pPr>
        <w:pStyle w:val="null3"/>
      </w:pPr>
      <w:r>
        <w:rPr>
          <w:rFonts w:ascii="仿宋_GB2312" w:hAnsi="仿宋_GB2312" w:cs="仿宋_GB2312" w:eastAsia="仿宋_GB2312"/>
        </w:rPr>
        <w:t>联系电话：15609208989</w:t>
      </w:r>
    </w:p>
    <w:p>
      <w:pPr>
        <w:pStyle w:val="null3"/>
      </w:pPr>
      <w:r>
        <w:rPr>
          <w:rFonts w:ascii="仿宋_GB2312" w:hAnsi="仿宋_GB2312" w:cs="仿宋_GB2312" w:eastAsia="仿宋_GB2312"/>
        </w:rPr>
        <w:t>地址：陕西省西安市雁塔区小寨街道momopark写字楼7号楼一单元1502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信息系统软件维保和后续开发服务采用整体购买服务的方式进行采购，数据库软件由供应商进行维护，且供应商提供后续数据库软件转换服务。项目内容包括数据库软件维护服务，业务系统所使用到的基础软件维护服务，业务系统的维护、迭代升级开发服务和业务系统安全提升服务，数据管理运维服务，中心内网通信软件维护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2,928,854.00</w:t>
      </w:r>
    </w:p>
    <w:p>
      <w:pPr>
        <w:pStyle w:val="null3"/>
      </w:pPr>
      <w:r>
        <w:rPr>
          <w:rFonts w:ascii="仿宋_GB2312" w:hAnsi="仿宋_GB2312" w:cs="仿宋_GB2312" w:eastAsia="仿宋_GB2312"/>
        </w:rPr>
        <w:t>采购包最高限价（元）: 2,928,854.00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2025年度信息系统软件维保和后续开发服务采购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2,928,854.00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标的名称：2025年度信息系统软件维保和后续开发服务采购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rPr>
              <w:t>2025年度信息系统软件维保</w:t>
            </w:r>
          </w:p>
          <w:p>
            <w:pPr>
              <w:pStyle w:val="null3"/>
              <w:jc w:val="center"/>
            </w:pPr>
            <w:r>
              <w:rPr>
                <w:rFonts w:ascii="仿宋_GB2312" w:hAnsi="仿宋_GB2312" w:cs="仿宋_GB2312" w:eastAsia="仿宋_GB2312"/>
                <w:sz w:val="20"/>
              </w:rPr>
              <w:t>和后续开发服务采购需求</w:t>
            </w:r>
          </w:p>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20</w:t>
            </w:r>
            <w:r>
              <w:rPr>
                <w:rFonts w:ascii="仿宋_GB2312" w:hAnsi="仿宋_GB2312" w:cs="仿宋_GB2312" w:eastAsia="仿宋_GB2312"/>
                <w:sz w:val="20"/>
              </w:rPr>
              <w:t>25</w:t>
            </w:r>
            <w:r>
              <w:rPr>
                <w:rFonts w:ascii="仿宋_GB2312" w:hAnsi="仿宋_GB2312" w:cs="仿宋_GB2312" w:eastAsia="仿宋_GB2312"/>
                <w:sz w:val="20"/>
              </w:rPr>
              <w:t>年度信息系统软件维保</w:t>
            </w:r>
            <w:r>
              <w:rPr>
                <w:rFonts w:ascii="仿宋_GB2312" w:hAnsi="仿宋_GB2312" w:cs="仿宋_GB2312" w:eastAsia="仿宋_GB2312"/>
                <w:sz w:val="20"/>
              </w:rPr>
              <w:t>和后续开发服务采用整体购买服务的方式进行采购，数据库软件由供应商进行维护，且供应商提供后续数据库软件转换服务。项目内容</w:t>
            </w:r>
            <w:r>
              <w:rPr>
                <w:rFonts w:ascii="仿宋_GB2312" w:hAnsi="仿宋_GB2312" w:cs="仿宋_GB2312" w:eastAsia="仿宋_GB2312"/>
                <w:sz w:val="20"/>
              </w:rPr>
              <w:t>包括</w:t>
            </w:r>
            <w:r>
              <w:rPr>
                <w:rFonts w:ascii="仿宋_GB2312" w:hAnsi="仿宋_GB2312" w:cs="仿宋_GB2312" w:eastAsia="仿宋_GB2312"/>
                <w:sz w:val="20"/>
              </w:rPr>
              <w:t>数据库软件维护服务，业务系统所使用到的基础软件维护服务，业务系统的维护、迭代升级开发服务和业务系统安全提升服务，数据管理运维服务，</w:t>
            </w:r>
            <w:r>
              <w:rPr>
                <w:rFonts w:ascii="仿宋_GB2312" w:hAnsi="仿宋_GB2312" w:cs="仿宋_GB2312" w:eastAsia="仿宋_GB2312"/>
                <w:sz w:val="20"/>
              </w:rPr>
              <w:t>中心内网通信软件</w:t>
            </w:r>
            <w:r>
              <w:rPr>
                <w:rFonts w:ascii="仿宋_GB2312" w:hAnsi="仿宋_GB2312" w:cs="仿宋_GB2312" w:eastAsia="仿宋_GB2312"/>
                <w:sz w:val="20"/>
              </w:rPr>
              <w:t>维护服务</w:t>
            </w:r>
            <w:r>
              <w:rPr>
                <w:rFonts w:ascii="仿宋_GB2312" w:hAnsi="仿宋_GB2312" w:cs="仿宋_GB2312" w:eastAsia="仿宋_GB2312"/>
                <w:sz w:val="20"/>
              </w:rPr>
              <w:t>等。</w:t>
            </w:r>
          </w:p>
          <w:p>
            <w:pPr>
              <w:pStyle w:val="null3"/>
              <w:ind w:firstLine="400"/>
              <w:jc w:val="left"/>
            </w:pPr>
            <w:r>
              <w:rPr>
                <w:rFonts w:ascii="仿宋_GB2312" w:hAnsi="仿宋_GB2312" w:cs="仿宋_GB2312" w:eastAsia="仿宋_GB2312"/>
                <w:sz w:val="20"/>
              </w:rPr>
              <w:t>二、项目明细</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第三方服务</w:t>
            </w:r>
            <w:r>
              <w:rPr>
                <w:rFonts w:ascii="仿宋_GB2312" w:hAnsi="仿宋_GB2312" w:cs="仿宋_GB2312" w:eastAsia="仿宋_GB2312"/>
                <w:sz w:val="20"/>
                <w:color w:val="000000"/>
              </w:rPr>
              <w:t>清单</w:t>
            </w:r>
          </w:p>
          <w:tbl>
            <w:tblPr>
              <w:tblBorders>
                <w:top w:val="none" w:color="000000" w:sz="4"/>
                <w:left w:val="none" w:color="000000" w:sz="4"/>
                <w:bottom w:val="none" w:color="000000" w:sz="4"/>
                <w:right w:val="none" w:color="000000" w:sz="4"/>
                <w:insideH w:val="none"/>
                <w:insideV w:val="none"/>
              </w:tblBorders>
            </w:tblPr>
            <w:tblGrid>
              <w:gridCol w:w="409"/>
              <w:gridCol w:w="458"/>
              <w:gridCol w:w="1267"/>
              <w:gridCol w:w="409"/>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软件名称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研发单位</w:t>
                  </w:r>
                </w:p>
              </w:tc>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型</w:t>
                  </w:r>
                  <w:r>
                    <w:rPr>
                      <w:rFonts w:ascii="仿宋_GB2312" w:hAnsi="仿宋_GB2312" w:cs="仿宋_GB2312" w:eastAsia="仿宋_GB2312"/>
                      <w:sz w:val="20"/>
                      <w:b/>
                    </w:rPr>
                    <w:t xml:space="preserve">  </w:t>
                  </w:r>
                  <w:r>
                    <w:rPr>
                      <w:rFonts w:ascii="仿宋_GB2312" w:hAnsi="仿宋_GB2312" w:cs="仿宋_GB2312" w:eastAsia="仿宋_GB2312"/>
                      <w:sz w:val="20"/>
                      <w:b/>
                    </w:rPr>
                    <w:t>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w:t>
                  </w:r>
                </w:p>
                <w:p>
                  <w:pPr>
                    <w:pStyle w:val="null3"/>
                    <w:jc w:val="center"/>
                  </w:pPr>
                  <w:r>
                    <w:rPr>
                      <w:rFonts w:ascii="仿宋_GB2312" w:hAnsi="仿宋_GB2312" w:cs="仿宋_GB2312" w:eastAsia="仿宋_GB2312"/>
                      <w:sz w:val="20"/>
                    </w:rPr>
                    <w:t>软件</w:t>
                  </w:r>
                </w:p>
              </w:tc>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Oracle</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Oracle Database Enterprise Edition - Processor Perpetual, FULL USE</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 license</w:t>
                  </w:r>
                </w:p>
              </w:tc>
            </w:tr>
            <w:tr>
              <w:tc>
                <w:tcPr>
                  <w:tcW w:type="dxa" w:w="409"/>
                  <w:vMerge/>
                  <w:tcBorders>
                    <w:top w:val="none" w:color="000000" w:sz="4"/>
                    <w:left w:val="single" w:color="000000" w:sz="4"/>
                    <w:bottom w:val="single" w:color="000000" w:sz="4"/>
                    <w:right w:val="single" w:color="000000" w:sz="4"/>
                  </w:tcBorders>
                </w:tcPr>
                <w:p/>
              </w:tc>
              <w:tc>
                <w:tcPr>
                  <w:tcW w:type="dxa" w:w="458"/>
                  <w:vMerge/>
                  <w:tcBorders>
                    <w:top w:val="none" w:color="000000" w:sz="4"/>
                    <w:left w:val="single" w:color="000000" w:sz="4"/>
                    <w:bottom w:val="single" w:color="000000" w:sz="4"/>
                    <w:right w:val="single" w:color="000000" w:sz="4"/>
                  </w:tcBorders>
                </w:tc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Real Application Clusters - Processor Perpetual, FULL USE</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 license</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办公软件</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市政府电子网络中心</w:t>
                  </w: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电子政务办公软件</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bl>
          <w:p>
            <w:pPr>
              <w:pStyle w:val="null3"/>
              <w:ind w:firstLine="400"/>
              <w:jc w:val="both"/>
            </w:pPr>
            <w:r>
              <w:rPr>
                <w:rFonts w:ascii="仿宋_GB2312" w:hAnsi="仿宋_GB2312" w:cs="仿宋_GB2312" w:eastAsia="仿宋_GB2312"/>
                <w:sz w:val="20"/>
                <w:color w:val="000000"/>
              </w:rPr>
              <w:t>（二）</w:t>
            </w:r>
            <w:r>
              <w:rPr>
                <w:rFonts w:ascii="仿宋_GB2312" w:hAnsi="仿宋_GB2312" w:cs="仿宋_GB2312" w:eastAsia="仿宋_GB2312"/>
                <w:sz w:val="20"/>
                <w:color w:val="000000"/>
              </w:rPr>
              <w:t>业务系统维保和开发服务明细</w:t>
            </w:r>
          </w:p>
          <w:p>
            <w:pPr>
              <w:pStyle w:val="null3"/>
              <w:ind w:firstLine="400"/>
              <w:jc w:val="both"/>
            </w:pPr>
            <w:r>
              <w:rPr>
                <w:rFonts w:ascii="仿宋_GB2312" w:hAnsi="仿宋_GB2312" w:cs="仿宋_GB2312" w:eastAsia="仿宋_GB2312"/>
                <w:sz w:val="20"/>
              </w:rPr>
              <w:t>包括以下功能模块的维保服务、后续功能增加与三大类运维服务。</w:t>
            </w:r>
          </w:p>
          <w:p>
            <w:pPr>
              <w:pStyle w:val="null3"/>
              <w:ind w:firstLine="400"/>
              <w:jc w:val="both"/>
            </w:pPr>
            <w:r>
              <w:rPr>
                <w:rFonts w:ascii="仿宋_GB2312" w:hAnsi="仿宋_GB2312" w:cs="仿宋_GB2312" w:eastAsia="仿宋_GB2312"/>
                <w:sz w:val="20"/>
              </w:rPr>
              <w:t>软件系统：归集管理系统、提取管理系统、个人贷款管理系统、会计核算管理系统、资金管理系统、其他住房资金、住房补贴、综合服务管理平台、手机公积金</w:t>
            </w:r>
            <w:r>
              <w:rPr>
                <w:rFonts w:ascii="仿宋_GB2312" w:hAnsi="仿宋_GB2312" w:cs="仿宋_GB2312" w:eastAsia="仿宋_GB2312"/>
                <w:sz w:val="20"/>
              </w:rPr>
              <w:t>APP、缴存单位网上业务大厅、开发商网上业务大厅、短信平台系统、流程服务、稽核审计、绩效考核、党建、省监管服务平台、住建部（税务）数据上报系统、征信上报与查询系统、支付宝城市服务接口、微信接口、房改办住房补贴接口、一网通办数据共享系统、一网通办APP接口与一网通办大数据局接口服务等(目前在用系统详细功能见《住房公积金业务系统开发运维服务附表》)。</w:t>
            </w:r>
          </w:p>
          <w:p>
            <w:pPr>
              <w:pStyle w:val="null3"/>
              <w:ind w:firstLine="400"/>
              <w:jc w:val="both"/>
            </w:pPr>
            <w:r>
              <w:rPr>
                <w:rFonts w:ascii="仿宋_GB2312" w:hAnsi="仿宋_GB2312" w:cs="仿宋_GB2312" w:eastAsia="仿宋_GB2312"/>
                <w:sz w:val="20"/>
              </w:rPr>
              <w:t>运维服务：基础软件维护服务、应用软件服务、数据管理运维服务、业务系统安全提升服务（如依照等保三级要求进行业务系统安全加固，使用</w:t>
            </w:r>
            <w:r>
              <w:rPr>
                <w:rFonts w:ascii="仿宋_GB2312" w:hAnsi="仿宋_GB2312" w:cs="仿宋_GB2312" w:eastAsia="仿宋_GB2312"/>
                <w:sz w:val="20"/>
              </w:rPr>
              <w:t>https访问等）。</w:t>
            </w:r>
          </w:p>
          <w:p>
            <w:pPr>
              <w:pStyle w:val="null3"/>
              <w:ind w:firstLine="400"/>
              <w:jc w:val="both"/>
            </w:pPr>
            <w:r>
              <w:rPr>
                <w:rFonts w:ascii="仿宋_GB2312" w:hAnsi="仿宋_GB2312" w:cs="仿宋_GB2312" w:eastAsia="仿宋_GB2312"/>
                <w:sz w:val="20"/>
              </w:rPr>
              <w:t>服务期内服务范围包括：</w:t>
            </w:r>
          </w:p>
          <w:p>
            <w:pPr>
              <w:pStyle w:val="null3"/>
              <w:ind w:firstLine="400"/>
              <w:jc w:val="both"/>
            </w:pPr>
            <w:r>
              <w:rPr>
                <w:rFonts w:ascii="仿宋_GB2312" w:hAnsi="仿宋_GB2312" w:cs="仿宋_GB2312" w:eastAsia="仿宋_GB2312"/>
                <w:sz w:val="20"/>
              </w:rPr>
              <w:t>1、服务范围包括：现有功能需求、设计、开发、测试、BUG修复、驻场运维服务、巡检、特殊事项及重大事项的专家现场服务指导。</w:t>
            </w:r>
          </w:p>
          <w:p>
            <w:pPr>
              <w:pStyle w:val="null3"/>
              <w:ind w:firstLine="400"/>
              <w:jc w:val="both"/>
            </w:pPr>
            <w:r>
              <w:rPr>
                <w:rFonts w:ascii="仿宋_GB2312" w:hAnsi="仿宋_GB2312" w:cs="仿宋_GB2312" w:eastAsia="仿宋_GB2312"/>
                <w:sz w:val="20"/>
              </w:rPr>
              <w:t>2、国家、省、市各级政府出台新政策以及采购方现有系统不能满足服务需求，需要对现有信息系统进行整体升级或系统优化均属于服务内容。</w:t>
            </w:r>
          </w:p>
          <w:p>
            <w:pPr>
              <w:pStyle w:val="null3"/>
              <w:ind w:firstLine="400"/>
              <w:jc w:val="both"/>
            </w:pPr>
            <w:r>
              <w:rPr>
                <w:rFonts w:ascii="仿宋_GB2312" w:hAnsi="仿宋_GB2312" w:cs="仿宋_GB2312" w:eastAsia="仿宋_GB2312"/>
                <w:sz w:val="20"/>
                <w:color w:val="000000"/>
              </w:rPr>
              <w:t>（三）服务的质量指标</w:t>
            </w:r>
          </w:p>
          <w:p>
            <w:pPr>
              <w:pStyle w:val="null3"/>
              <w:ind w:firstLine="400"/>
              <w:jc w:val="both"/>
            </w:pPr>
            <w:r>
              <w:rPr>
                <w:rFonts w:ascii="仿宋_GB2312" w:hAnsi="仿宋_GB2312" w:cs="仿宋_GB2312" w:eastAsia="仿宋_GB2312"/>
                <w:sz w:val="20"/>
              </w:rPr>
              <w:t>供应商应按照以下要求提供相应服务。</w:t>
            </w:r>
          </w:p>
          <w:p>
            <w:pPr>
              <w:pStyle w:val="null3"/>
              <w:ind w:firstLine="400"/>
              <w:jc w:val="both"/>
            </w:pPr>
            <w:r>
              <w:rPr>
                <w:rFonts w:ascii="仿宋_GB2312" w:hAnsi="仿宋_GB2312" w:cs="仿宋_GB2312" w:eastAsia="仿宋_GB2312"/>
                <w:sz w:val="20"/>
              </w:rPr>
              <w:t>1、服务公司要求：</w:t>
            </w:r>
          </w:p>
          <w:p>
            <w:pPr>
              <w:pStyle w:val="null3"/>
              <w:ind w:firstLine="400"/>
              <w:jc w:val="both"/>
            </w:pPr>
            <w:r>
              <w:rPr>
                <w:rFonts w:ascii="仿宋_GB2312" w:hAnsi="仿宋_GB2312" w:cs="仿宋_GB2312" w:eastAsia="仿宋_GB2312"/>
                <w:sz w:val="20"/>
              </w:rPr>
              <w:t>供应商为本项目投入工程师不少于</w:t>
            </w:r>
            <w:r>
              <w:rPr>
                <w:rFonts w:ascii="仿宋_GB2312" w:hAnsi="仿宋_GB2312" w:cs="仿宋_GB2312" w:eastAsia="仿宋_GB2312"/>
                <w:sz w:val="20"/>
              </w:rPr>
              <w:t>5名（人员需经接受服务方同意），供应商须指定专人作为负责人，与采购方就项目事宜对接、协调。供应商应提供能够证明其业务系统维保和后续开发能力的材料（如同类项目合同、软件著作权证书等），供应商须提供通过数据库厂商认证的工程师名单。</w:t>
            </w:r>
          </w:p>
          <w:p>
            <w:pPr>
              <w:pStyle w:val="null3"/>
              <w:ind w:firstLine="400"/>
              <w:jc w:val="both"/>
            </w:pPr>
            <w:r>
              <w:rPr>
                <w:rFonts w:ascii="仿宋_GB2312" w:hAnsi="仿宋_GB2312" w:cs="仿宋_GB2312" w:eastAsia="仿宋_GB2312"/>
                <w:sz w:val="20"/>
              </w:rPr>
              <w:t>2、服务标准：</w:t>
            </w:r>
          </w:p>
          <w:p>
            <w:pPr>
              <w:pStyle w:val="null3"/>
              <w:ind w:firstLine="400"/>
              <w:jc w:val="both"/>
            </w:pPr>
            <w:r>
              <w:rPr>
                <w:rFonts w:ascii="仿宋_GB2312" w:hAnsi="仿宋_GB2312" w:cs="仿宋_GB2312" w:eastAsia="仿宋_GB2312"/>
                <w:sz w:val="20"/>
              </w:rPr>
              <w:t>在服务周期内，项目明细内的软件（软件能随时升级）在维护和开发过程中所产生的费用，全部由供应商承担，采购方不承担任何费用，服务期限为一年。所有维保项目依据系统维护要求，按照每日、每周、季度、半年、和年度维护的不同需求进行维护，并向采购方提供书面维护报告。</w:t>
            </w:r>
          </w:p>
          <w:p>
            <w:pPr>
              <w:pStyle w:val="null3"/>
              <w:ind w:firstLine="400"/>
              <w:jc w:val="both"/>
            </w:pPr>
            <w:r>
              <w:rPr>
                <w:rFonts w:ascii="仿宋_GB2312" w:hAnsi="仿宋_GB2312" w:cs="仿宋_GB2312" w:eastAsia="仿宋_GB2312"/>
                <w:sz w:val="20"/>
              </w:rPr>
              <w:t>系统维保服务响应时间：半小时内做出响应，三小时内排除故障，恢复系统运行。</w:t>
            </w:r>
          </w:p>
          <w:p>
            <w:pPr>
              <w:pStyle w:val="null3"/>
              <w:ind w:firstLine="400"/>
              <w:jc w:val="both"/>
            </w:pPr>
            <w:r>
              <w:rPr>
                <w:rFonts w:ascii="仿宋_GB2312" w:hAnsi="仿宋_GB2312" w:cs="仿宋_GB2312" w:eastAsia="仿宋_GB2312"/>
                <w:sz w:val="20"/>
              </w:rPr>
              <w:t>服务考核：采购方对供应商进行季度考核和年度考核，对未达到服务标准的情况将酌情扣除维护费。</w:t>
            </w:r>
          </w:p>
          <w:p>
            <w:pPr>
              <w:pStyle w:val="null3"/>
              <w:ind w:firstLine="400"/>
              <w:jc w:val="both"/>
            </w:pPr>
            <w:r>
              <w:rPr>
                <w:rFonts w:ascii="仿宋_GB2312" w:hAnsi="仿宋_GB2312" w:cs="仿宋_GB2312" w:eastAsia="仿宋_GB2312"/>
                <w:sz w:val="20"/>
              </w:rPr>
              <w:t>考核方法：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驻场运维人员应遵守中心的办公时间，每日填写运维日志，每月提交巡检报告，请假需经公司同意后再报中心审批同意，运维人员变更需提交书面申请经中心同意，运维人员沟通表达清晰明确，举止端庄、态度得体，不得造成投诉，以上各项要求累计违反每满三次扣除维保费1‰，由采购方直接在合同尾款中扣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重要系统开发工作，应在需求确定时与采购方协商，明确开发周期。因供应商原因（包括但不限于预估时间不足、开发测试工作滞后等）造成延误的，每延误三天扣除维保费1‰（不足三天按三天算），由采购方直接在合同尾款中扣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3）因对系统检查测试不到位以及其他人为、技术原因导致系统在业务时间内无法运行的，每小时扣除维保费1‰（不足一小时按一小时算），由采购方直接在合同尾款中扣除。</w:t>
            </w:r>
          </w:p>
          <w:p>
            <w:pPr>
              <w:pStyle w:val="null3"/>
              <w:ind w:firstLine="400"/>
              <w:jc w:val="both"/>
            </w:pPr>
            <w:r>
              <w:rPr>
                <w:rFonts w:ascii="仿宋_GB2312" w:hAnsi="仿宋_GB2312" w:cs="仿宋_GB2312" w:eastAsia="仿宋_GB2312"/>
                <w:sz w:val="20"/>
              </w:rPr>
              <w:t>供应商服务承诺：</w:t>
            </w:r>
          </w:p>
          <w:p>
            <w:pPr>
              <w:pStyle w:val="null3"/>
              <w:ind w:firstLine="400"/>
              <w:jc w:val="both"/>
            </w:pPr>
            <w:r>
              <w:rPr>
                <w:rFonts w:ascii="仿宋_GB2312" w:hAnsi="仿宋_GB2312" w:cs="仿宋_GB2312" w:eastAsia="仿宋_GB2312"/>
                <w:sz w:val="20"/>
              </w:rPr>
              <w:t>工作时间承诺：按照采购方工作时间提供服务，如有特殊情况，技术服务人员应全力支持在各时段提供及时的现场支持。</w:t>
            </w:r>
          </w:p>
          <w:p>
            <w:pPr>
              <w:pStyle w:val="null3"/>
              <w:ind w:firstLine="400"/>
              <w:jc w:val="both"/>
            </w:pPr>
            <w:r>
              <w:rPr>
                <w:rFonts w:ascii="仿宋_GB2312" w:hAnsi="仿宋_GB2312" w:cs="仿宋_GB2312" w:eastAsia="仿宋_GB2312"/>
                <w:sz w:val="20"/>
              </w:rPr>
              <w:t>响应方式承诺：热线电话、远程桌面支持、驻场工程师解决，技术专家现场解决。</w:t>
            </w:r>
          </w:p>
          <w:p>
            <w:pPr>
              <w:pStyle w:val="null3"/>
              <w:ind w:firstLine="400"/>
              <w:jc w:val="both"/>
            </w:pPr>
            <w:r>
              <w:rPr>
                <w:rFonts w:ascii="仿宋_GB2312" w:hAnsi="仿宋_GB2312" w:cs="仿宋_GB2312" w:eastAsia="仿宋_GB2312"/>
                <w:sz w:val="20"/>
              </w:rPr>
              <w:t>人员保障承诺：根据采购方要求及合同规定提供服务工程师。</w:t>
            </w:r>
          </w:p>
          <w:p>
            <w:pPr>
              <w:pStyle w:val="null3"/>
              <w:ind w:firstLine="400"/>
              <w:jc w:val="both"/>
            </w:pPr>
            <w:r>
              <w:rPr>
                <w:rFonts w:ascii="仿宋_GB2312" w:hAnsi="仿宋_GB2312" w:cs="仿宋_GB2312" w:eastAsia="仿宋_GB2312"/>
                <w:sz w:val="20"/>
              </w:rPr>
              <w:t>保密要求承诺：根据采购方要求，签订保密协议。</w:t>
            </w:r>
          </w:p>
          <w:p>
            <w:pPr>
              <w:pStyle w:val="null3"/>
              <w:ind w:firstLine="400"/>
              <w:jc w:val="left"/>
            </w:pPr>
            <w:r>
              <w:rPr>
                <w:rFonts w:ascii="仿宋_GB2312" w:hAnsi="仿宋_GB2312" w:cs="仿宋_GB2312" w:eastAsia="仿宋_GB2312"/>
                <w:sz w:val="20"/>
              </w:rPr>
              <w:t>三、项目</w:t>
            </w:r>
            <w:r>
              <w:rPr>
                <w:rFonts w:ascii="仿宋_GB2312" w:hAnsi="仿宋_GB2312" w:cs="仿宋_GB2312" w:eastAsia="仿宋_GB2312"/>
                <w:sz w:val="20"/>
              </w:rPr>
              <w:t>付款方式</w:t>
            </w:r>
          </w:p>
          <w:p>
            <w:pPr>
              <w:pStyle w:val="null3"/>
              <w:ind w:firstLine="400"/>
              <w:jc w:val="both"/>
            </w:pPr>
            <w:r>
              <w:rPr>
                <w:rFonts w:ascii="仿宋_GB2312" w:hAnsi="仿宋_GB2312" w:cs="仿宋_GB2312" w:eastAsia="仿宋_GB2312"/>
                <w:sz w:val="20"/>
              </w:rPr>
              <w:t>合同签订后一个月内支付合同总价款的</w:t>
            </w:r>
            <w:r>
              <w:rPr>
                <w:rFonts w:ascii="仿宋_GB2312" w:hAnsi="仿宋_GB2312" w:cs="仿宋_GB2312" w:eastAsia="仿宋_GB2312"/>
                <w:sz w:val="20"/>
              </w:rPr>
              <w:t>40%；服务期满六个月后支付合同总价款的50%；服务期满并验收合格后，一个月内按照维保服务考核结果支付合同尾款。</w:t>
            </w:r>
          </w:p>
          <w:p>
            <w:pPr>
              <w:pStyle w:val="null3"/>
              <w:jc w:val="both"/>
            </w:pPr>
            <w:r>
              <w:rPr>
                <w:rFonts w:ascii="仿宋_GB2312" w:hAnsi="仿宋_GB2312" w:cs="仿宋_GB2312" w:eastAsia="仿宋_GB2312"/>
                <w:sz w:val="20"/>
              </w:rPr>
              <w:t>住房公积金业务系统开发运维服务附表</w:t>
            </w:r>
          </w:p>
          <w:tbl>
            <w:tblPr>
              <w:tblBorders>
                <w:top w:val="none" w:color="000000" w:sz="4"/>
                <w:left w:val="none" w:color="000000" w:sz="4"/>
                <w:bottom w:val="none" w:color="000000" w:sz="4"/>
                <w:right w:val="none" w:color="000000" w:sz="4"/>
                <w:insideH w:val="none"/>
                <w:insideV w:val="none"/>
              </w:tblBorders>
            </w:tblPr>
            <w:tblGrid>
              <w:gridCol w:w="239"/>
              <w:gridCol w:w="646"/>
              <w:gridCol w:w="1657"/>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1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主要服务内容介绍</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归集</w:t>
                  </w:r>
                  <w:r>
                    <w:rPr>
                      <w:rFonts w:ascii="仿宋_GB2312" w:hAnsi="仿宋_GB2312" w:cs="仿宋_GB2312" w:eastAsia="仿宋_GB2312"/>
                      <w:sz w:val="20"/>
                    </w:rPr>
                    <w:t>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主要完成住房公积金的归集、变更</w:t>
                  </w:r>
                  <w:r>
                    <w:rPr>
                      <w:rFonts w:ascii="仿宋_GB2312" w:hAnsi="仿宋_GB2312" w:cs="仿宋_GB2312" w:eastAsia="仿宋_GB2312"/>
                      <w:sz w:val="20"/>
                    </w:rPr>
                    <w:t>功能</w:t>
                  </w:r>
                  <w:r>
                    <w:rPr>
                      <w:rFonts w:ascii="仿宋_GB2312" w:hAnsi="仿宋_GB2312" w:cs="仿宋_GB2312" w:eastAsia="仿宋_GB2312"/>
                      <w:sz w:val="20"/>
                    </w:rPr>
                    <w:t>。主要包括住房公积金的汇缴、补缴、挂账、</w:t>
                  </w:r>
                  <w:r>
                    <w:rPr>
                      <w:rFonts w:ascii="仿宋_GB2312" w:hAnsi="仿宋_GB2312" w:cs="仿宋_GB2312" w:eastAsia="仿宋_GB2312"/>
                      <w:sz w:val="20"/>
                    </w:rPr>
                    <w:t>冲账</w:t>
                  </w:r>
                  <w:r>
                    <w:rPr>
                      <w:rFonts w:ascii="仿宋_GB2312" w:hAnsi="仿宋_GB2312" w:cs="仿宋_GB2312" w:eastAsia="仿宋_GB2312"/>
                      <w:sz w:val="20"/>
                    </w:rPr>
                    <w:t>、</w:t>
                  </w:r>
                  <w:r>
                    <w:rPr>
                      <w:rFonts w:ascii="仿宋_GB2312" w:hAnsi="仿宋_GB2312" w:cs="仿宋_GB2312" w:eastAsia="仿宋_GB2312"/>
                      <w:sz w:val="20"/>
                    </w:rPr>
                    <w:t>单位开户</w:t>
                  </w:r>
                  <w:r>
                    <w:rPr>
                      <w:rFonts w:ascii="仿宋_GB2312" w:hAnsi="仿宋_GB2312" w:cs="仿宋_GB2312" w:eastAsia="仿宋_GB2312"/>
                      <w:sz w:val="20"/>
                    </w:rPr>
                    <w:t>、单位封存、单位缓缴、</w:t>
                  </w:r>
                  <w:r>
                    <w:rPr>
                      <w:rFonts w:ascii="仿宋_GB2312" w:hAnsi="仿宋_GB2312" w:cs="仿宋_GB2312" w:eastAsia="仿宋_GB2312"/>
                      <w:sz w:val="20"/>
                    </w:rPr>
                    <w:t>开人开户、</w:t>
                  </w:r>
                  <w:r>
                    <w:rPr>
                      <w:rFonts w:ascii="仿宋_GB2312" w:hAnsi="仿宋_GB2312" w:cs="仿宋_GB2312" w:eastAsia="仿宋_GB2312"/>
                      <w:sz w:val="20"/>
                    </w:rPr>
                    <w:t>个人封存、基数调整、异地转移接续等</w:t>
                  </w:r>
                  <w:r>
                    <w:rPr>
                      <w:rFonts w:ascii="仿宋_GB2312" w:hAnsi="仿宋_GB2312" w:cs="仿宋_GB2312" w:eastAsia="仿宋_GB2312"/>
                      <w:sz w:val="20"/>
                    </w:rPr>
                    <w:t>操作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提取管理系统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主要完成住房公积金的</w:t>
                  </w:r>
                  <w:r>
                    <w:rPr>
                      <w:rFonts w:ascii="仿宋_GB2312" w:hAnsi="仿宋_GB2312" w:cs="仿宋_GB2312" w:eastAsia="仿宋_GB2312"/>
                      <w:sz w:val="20"/>
                    </w:rPr>
                    <w:t>提</w:t>
                  </w:r>
                  <w:r>
                    <w:rPr>
                      <w:rFonts w:ascii="仿宋_GB2312" w:hAnsi="仿宋_GB2312" w:cs="仿宋_GB2312" w:eastAsia="仿宋_GB2312"/>
                      <w:sz w:val="20"/>
                    </w:rPr>
                    <w:t>取</w:t>
                  </w:r>
                  <w:r>
                    <w:rPr>
                      <w:rFonts w:ascii="仿宋_GB2312" w:hAnsi="仿宋_GB2312" w:cs="仿宋_GB2312" w:eastAsia="仿宋_GB2312"/>
                      <w:sz w:val="20"/>
                    </w:rPr>
                    <w:t>、</w:t>
                  </w:r>
                  <w:r>
                    <w:rPr>
                      <w:rFonts w:ascii="仿宋_GB2312" w:hAnsi="仿宋_GB2312" w:cs="仿宋_GB2312" w:eastAsia="仿宋_GB2312"/>
                      <w:sz w:val="20"/>
                    </w:rPr>
                    <w:t>转移等功能</w:t>
                  </w:r>
                  <w:r>
                    <w:rPr>
                      <w:rFonts w:ascii="仿宋_GB2312" w:hAnsi="仿宋_GB2312" w:cs="仿宋_GB2312" w:eastAsia="仿宋_GB2312"/>
                      <w:sz w:val="20"/>
                    </w:rPr>
                    <w:t>。</w:t>
                  </w:r>
                  <w:r>
                    <w:rPr>
                      <w:rFonts w:ascii="仿宋_GB2312" w:hAnsi="仿宋_GB2312" w:cs="仿宋_GB2312" w:eastAsia="仿宋_GB2312"/>
                      <w:sz w:val="20"/>
                    </w:rPr>
                    <w:t>主要包括购建房提取、租房提取、偿还住房贷款提取、离退休提取等操作。</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个人贷款管理系统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主要完成住房公积金</w:t>
                  </w:r>
                  <w:r>
                    <w:rPr>
                      <w:rFonts w:ascii="仿宋_GB2312" w:hAnsi="仿宋_GB2312" w:cs="仿宋_GB2312" w:eastAsia="仿宋_GB2312"/>
                      <w:sz w:val="20"/>
                    </w:rPr>
                    <w:t>贷款的管理功能</w:t>
                  </w:r>
                  <w:r>
                    <w:rPr>
                      <w:rFonts w:ascii="仿宋_GB2312" w:hAnsi="仿宋_GB2312" w:cs="仿宋_GB2312" w:eastAsia="仿宋_GB2312"/>
                      <w:sz w:val="20"/>
                    </w:rPr>
                    <w:t>。</w:t>
                  </w:r>
                  <w:r>
                    <w:rPr>
                      <w:rFonts w:ascii="仿宋_GB2312" w:hAnsi="仿宋_GB2312" w:cs="仿宋_GB2312" w:eastAsia="仿宋_GB2312"/>
                      <w:sz w:val="20"/>
                    </w:rPr>
                    <w:t>主要</w:t>
                  </w:r>
                  <w:r>
                    <w:rPr>
                      <w:rFonts w:ascii="仿宋_GB2312" w:hAnsi="仿宋_GB2312" w:cs="仿宋_GB2312" w:eastAsia="仿宋_GB2312"/>
                      <w:sz w:val="20"/>
                    </w:rPr>
                    <w:t>包括开发商建档、准贷楼盘建档，个人住房贷款的申请、审批、还贷</w:t>
                  </w:r>
                  <w:r>
                    <w:rPr>
                      <w:rFonts w:ascii="仿宋_GB2312" w:hAnsi="仿宋_GB2312" w:cs="仿宋_GB2312" w:eastAsia="仿宋_GB2312"/>
                      <w:sz w:val="20"/>
                    </w:rPr>
                    <w:t>、</w:t>
                  </w:r>
                  <w:r>
                    <w:rPr>
                      <w:rFonts w:ascii="仿宋_GB2312" w:hAnsi="仿宋_GB2312" w:cs="仿宋_GB2312" w:eastAsia="仿宋_GB2312"/>
                      <w:sz w:val="20"/>
                    </w:rPr>
                    <w:t>贷款管理等操作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会计核算管理系统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w:t>
                  </w:r>
                  <w:r>
                    <w:rPr>
                      <w:rFonts w:ascii="仿宋_GB2312" w:hAnsi="仿宋_GB2312" w:cs="仿宋_GB2312" w:eastAsia="仿宋_GB2312"/>
                      <w:sz w:val="20"/>
                    </w:rPr>
                    <w:t>会计科目设置、科目余额设置、凭证录入、修改、审核、入帐、查询、结帐、核算、打印帐簿报表等功能。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资金管理</w:t>
                  </w:r>
                  <w:r>
                    <w:rPr>
                      <w:rFonts w:ascii="仿宋_GB2312" w:hAnsi="仿宋_GB2312" w:cs="仿宋_GB2312" w:eastAsia="仿宋_GB2312"/>
                      <w:sz w:val="20"/>
                    </w:rPr>
                    <w:t>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w:t>
                  </w:r>
                  <w:r>
                    <w:rPr>
                      <w:rFonts w:ascii="仿宋_GB2312" w:hAnsi="仿宋_GB2312" w:cs="仿宋_GB2312" w:eastAsia="仿宋_GB2312"/>
                      <w:sz w:val="20"/>
                    </w:rPr>
                    <w:t>贷款、提取等业务的资金调拔审批、调度、结算和投资管理功能，并对国债、定期、手续费管理、资金清算、账户设置业务形成一套规范管理体系。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其他住房资金管理系统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主要完成其他住房资金的单位开户、资金缴纳、支取审批等功能。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住房补贴管理系统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主要完成住房补贴的单位开户、个人开户、信息变更、资金缴纳、支取审批等功能。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综合服务管理平台</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主要实现各服务渠道的服务部署、接入控制，启停管理和数据统计等功能。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手机公积金</w:t>
                  </w:r>
                  <w:r>
                    <w:rPr>
                      <w:rFonts w:ascii="仿宋_GB2312" w:hAnsi="仿宋_GB2312" w:cs="仿宋_GB2312" w:eastAsia="仿宋_GB2312"/>
                      <w:sz w:val="20"/>
                    </w:rPr>
                    <w:t>APP</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手机</w:t>
                  </w:r>
                  <w:r>
                    <w:rPr>
                      <w:rFonts w:ascii="仿宋_GB2312" w:hAnsi="仿宋_GB2312" w:cs="仿宋_GB2312" w:eastAsia="仿宋_GB2312"/>
                      <w:sz w:val="20"/>
                    </w:rPr>
                    <w:t>app实现公积金归集、贷款查询，冲还贷、离退休提取等业务办理。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网上业务大厅</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网上业务大厅系统是住房公积金管理中心为单位、缴存职工建立的一个网上业务办理服务平台，达到单位住房公积金业务与中心实时互动，查询公积金缴存业务资金到账情况。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r>
                    <w:rPr>
                      <w:rFonts w:ascii="仿宋_GB2312" w:hAnsi="仿宋_GB2312" w:cs="仿宋_GB2312" w:eastAsia="仿宋_GB2312"/>
                      <w:sz w:val="21"/>
                    </w:rPr>
                    <w:t xml:space="preserve"> </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短信平台</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短信平台接口，实现汇缴职工短信收发功能。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流程服务</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集中管理、定义、再造流程，实现全流程化管理，包括了流程定义、流程规则、流程执行、流程监控等部分，是业务协同的核心。通过流程定义、流程运行规则定义、流程审计和监控，来完成业务需求、运行条件的直接描述，并提供业务操作者、审批者、审计者、被服务对象的直接信息关联和交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稽核审计</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稽核审计主要实现：</w:t>
                  </w:r>
                  <w:r>
                    <w:rPr>
                      <w:rFonts w:ascii="仿宋_GB2312" w:hAnsi="仿宋_GB2312" w:cs="仿宋_GB2312" w:eastAsia="仿宋_GB2312"/>
                      <w:sz w:val="20"/>
                    </w:rPr>
                    <w:t>业务报表、业务查询、财务报表、财务分析、凭证查询、资金流水、稽核报表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行政办公</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主要实现</w:t>
                  </w:r>
                  <w:r>
                    <w:rPr>
                      <w:rFonts w:ascii="仿宋_GB2312" w:hAnsi="仿宋_GB2312" w:cs="仿宋_GB2312" w:eastAsia="仿宋_GB2312"/>
                      <w:sz w:val="20"/>
                    </w:rPr>
                    <w:t>收发文管理，通知公告等功能。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省监管服务平台</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接入省监管服务平台，</w:t>
                  </w:r>
                  <w:r>
                    <w:rPr>
                      <w:rFonts w:ascii="仿宋_GB2312" w:hAnsi="仿宋_GB2312" w:cs="仿宋_GB2312" w:eastAsia="仿宋_GB2312"/>
                      <w:sz w:val="20"/>
                    </w:rPr>
                    <w:t>实现对公积金业务的监督管理、大额资金预警等功能。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住建部（税务）数据上报系统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住建部全国住房公积金数据平台的接入和数据上报功能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征信上报与查询系统</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实现与人行报送征信数据系统的运维与拓展服务。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支付宝城市服务接口</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支付宝城市服务</w:t>
                  </w:r>
                  <w:r>
                    <w:rPr>
                      <w:rFonts w:ascii="仿宋_GB2312" w:hAnsi="仿宋_GB2312" w:cs="仿宋_GB2312" w:eastAsia="仿宋_GB2312"/>
                      <w:sz w:val="20"/>
                    </w:rPr>
                    <w:t>接口的运维与拓展服务。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微信接口</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微信公众号的服务</w:t>
                  </w:r>
                  <w:r>
                    <w:rPr>
                      <w:rFonts w:ascii="仿宋_GB2312" w:hAnsi="仿宋_GB2312" w:cs="仿宋_GB2312" w:eastAsia="仿宋_GB2312"/>
                      <w:sz w:val="20"/>
                    </w:rPr>
                    <w:t>接口的运维与拓展服务。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房改办住房补贴接口</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房改办住房补贴共享数据服务</w:t>
                  </w:r>
                  <w:r>
                    <w:rPr>
                      <w:rFonts w:ascii="仿宋_GB2312" w:hAnsi="仿宋_GB2312" w:cs="仿宋_GB2312" w:eastAsia="仿宋_GB2312"/>
                      <w:sz w:val="20"/>
                    </w:rPr>
                    <w:t>接口的运维与拓展服务。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一网通办数据共享系统、一网通办</w:t>
                  </w:r>
                  <w:r>
                    <w:rPr>
                      <w:rFonts w:ascii="仿宋_GB2312" w:hAnsi="仿宋_GB2312" w:cs="仿宋_GB2312" w:eastAsia="仿宋_GB2312"/>
                      <w:sz w:val="20"/>
                    </w:rPr>
                    <w:t>APP接口与一网通办大数据局接口服务</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一网通办</w:t>
                  </w:r>
                  <w:r>
                    <w:rPr>
                      <w:rFonts w:ascii="仿宋_GB2312" w:hAnsi="仿宋_GB2312" w:cs="仿宋_GB2312" w:eastAsia="仿宋_GB2312"/>
                      <w:sz w:val="20"/>
                    </w:rPr>
                    <w:t>APP接口和一网通办大数据共享</w:t>
                  </w:r>
                  <w:r>
                    <w:rPr>
                      <w:rFonts w:ascii="仿宋_GB2312" w:hAnsi="仿宋_GB2312" w:cs="仿宋_GB2312" w:eastAsia="仿宋_GB2312"/>
                      <w:sz w:val="20"/>
                    </w:rPr>
                    <w:t>服务</w:t>
                  </w:r>
                  <w:r>
                    <w:rPr>
                      <w:rFonts w:ascii="仿宋_GB2312" w:hAnsi="仿宋_GB2312" w:cs="仿宋_GB2312" w:eastAsia="仿宋_GB2312"/>
                      <w:sz w:val="20"/>
                    </w:rPr>
                    <w:t>接口的运维与拓展服务。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商业</w:t>
                  </w:r>
                  <w:r>
                    <w:rPr>
                      <w:rFonts w:ascii="仿宋_GB2312" w:hAnsi="仿宋_GB2312" w:cs="仿宋_GB2312" w:eastAsia="仿宋_GB2312"/>
                      <w:sz w:val="20"/>
                    </w:rPr>
                    <w:t>银行</w:t>
                  </w:r>
                  <w:r>
                    <w:rPr>
                      <w:rFonts w:ascii="仿宋_GB2312" w:hAnsi="仿宋_GB2312" w:cs="仿宋_GB2312" w:eastAsia="仿宋_GB2312"/>
                      <w:sz w:val="20"/>
                    </w:rPr>
                    <w:t>贷款查询</w:t>
                  </w:r>
                  <w:r>
                    <w:rPr>
                      <w:rFonts w:ascii="仿宋_GB2312" w:hAnsi="仿宋_GB2312" w:cs="仿宋_GB2312" w:eastAsia="仿宋_GB2312"/>
                      <w:sz w:val="20"/>
                    </w:rPr>
                    <w:t>接口</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实现与各合作银行</w:t>
                  </w:r>
                  <w:r>
                    <w:rPr>
                      <w:rFonts w:ascii="仿宋_GB2312" w:hAnsi="仿宋_GB2312" w:cs="仿宋_GB2312" w:eastAsia="仿宋_GB2312"/>
                      <w:sz w:val="20"/>
                    </w:rPr>
                    <w:t>商贷</w:t>
                  </w:r>
                  <w:r>
                    <w:rPr>
                      <w:rFonts w:ascii="仿宋_GB2312" w:hAnsi="仿宋_GB2312" w:cs="仿宋_GB2312" w:eastAsia="仿宋_GB2312"/>
                      <w:sz w:val="20"/>
                    </w:rPr>
                    <w:t>查询接口的运维与拓展服务。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行政执法</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主要业务功能包括冻结、解冻、扣划、单位催缴、单位催建、执法人员管理、黑名单管理、贷款逾期黑名单、个人冻结。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必须在现有系统框架、</w:t>
                  </w:r>
                  <w:r>
                    <w:rPr>
                      <w:rFonts w:ascii="仿宋_GB2312" w:hAnsi="仿宋_GB2312" w:cs="仿宋_GB2312" w:eastAsia="仿宋_GB2312"/>
                      <w:sz w:val="20"/>
                    </w:rPr>
                    <w:t>系统设计</w:t>
                  </w:r>
                  <w:r>
                    <w:rPr>
                      <w:rFonts w:ascii="仿宋_GB2312" w:hAnsi="仿宋_GB2312" w:cs="仿宋_GB2312" w:eastAsia="仿宋_GB2312"/>
                      <w:sz w:val="20"/>
                    </w:rPr>
                    <w:t>、</w:t>
                  </w:r>
                  <w:r>
                    <w:rPr>
                      <w:rFonts w:ascii="仿宋_GB2312" w:hAnsi="仿宋_GB2312" w:cs="仿宋_GB2312" w:eastAsia="仿宋_GB2312"/>
                      <w:sz w:val="20"/>
                    </w:rPr>
                    <w:t>数据库库表结构</w:t>
                  </w:r>
                  <w:r>
                    <w:rPr>
                      <w:rFonts w:ascii="仿宋_GB2312" w:hAnsi="仿宋_GB2312" w:cs="仿宋_GB2312" w:eastAsia="仿宋_GB2312"/>
                      <w:sz w:val="20"/>
                    </w:rPr>
                    <w:t>基础上进行开发运维服务。</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1、服务公司要求： 供应商为本项目投入工程师不少于5名（人员需经接受服务方同意），供应商须指定专人作为负责人，与采购方就项目事宜对接、协调。供应商应提供能够证明其业务系统维保和后续开发能力的材料（如同类项目合同、软件著作权证书等），供应商须提供通过数据库厂商认证的工程师名单。 2、服务标准： 在服务周期内，项目明细内的软件（软件能随时升级）在维护和开发过程中所产生的费用，全部由供应商承担，采购方不承担任何费用，服务期限为一年。所有维保项目依据系统维护要求，按照每日、每周、季度、半年、和年度维护的不同需求进行维护，并向采购方提供书面维护报告。 系统维保服务响应时间：半小时内做出响应，三小时内排除故障，恢复系统运行。 服务考核：采购方对供应商进行季度考核和年度考核，对未达到服务标准的情况将酌情扣除维护费。 考核方法： （1）驻场运维人员应遵守中心的办公时间，每日填写运维日志，每月提交巡检报告，请假需经公司同意后再报中心审批同意，运维人员变更需提交书面申请经中心同意，运维人员沟通表达清晰明确，举止端庄、态度得体，不得造成投诉，以上各项要求累计违反每满三次扣除维保费1‰，由采购方直接在合同尾款中扣除。 （2）重要系统开发工作，应在需求确定时与采购方协商，明确开发周期。因供应商原因（包括但不限于预估时间不足、开发测试工作滞后等）造成延误的，每延误三天扣除维保费1‰（不足三天按三天算），由采购方直接在合同尾款中扣除。 （3）因对系统检查测试不到位以及其他人为、技术原因导致系统在业务时间内无法运行的，每小时扣除维保费1‰（不足一小时按一小时算），由采购方直接在合同尾款中扣除。 供应商服务承诺： 工作时间承诺：按照采购方工作时间提供服务，如有特殊情况，技术服务人员应全力支持在各时段提供及时的现场支持。 响应方式承诺：热线电话、远程桌面支持、驻场工程师解决，技术专家现场解决。 人员保障承诺：根据采购方要求及合同规定提供服务工程师。 保密要求承诺：根据采购方要求，签订保密协议。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合同签订后一个月内支付合同总价款的40%；服务期满六个月后支付合同总价款的50%；服务期满并验收合格后，一个月内按照维保服务考核结果支付合同尾款。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西安市（西安住房公积金管理中心）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服务期满六个月后支付合同总价款的50%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服务期满并验收合格后，一个月内按照维保服务考核结果支付合同尾款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前，须向采购代理机构提供纸质版投标文件3套（一正二副）、电子U盘一份，且提供的投标文件必须与在陕西省政府采购综合管理平台的项目电子化交易系统中递交的电子投标文件内容一致，纸质版投标文件必须装订成册签字盖章。 2、本项目所属行业为软件和信息技术服务业。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供应商提供2024年8月至今任意1个月已缴纳的社会保障资金缴存单据或社保机构开具的社会保险参保缴费情况证明；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08月至今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投标声明书</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具备履行合同所必需的设备和专业技术能力的承诺</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明，并与营业执照上信息一致。法定代表人授权代表参加投标的，须出具法定代表人授权委托书。（其他组织或自然人参照执行）；</w:t>
            </w:r>
          </w:p>
        </w:tc>
        <w:tc>
          <w:tcPr>
            <w:tcW w:type="dxa" w:w="1661"/>
          </w:tcPr>
          <w:p>
            <w:pPr>
              <w:pStyle w:val="null3"/>
            </w:pPr>
            <w:r>
              <w:rPr>
                <w:rFonts w:ascii="仿宋_GB2312" w:hAnsi="仿宋_GB2312" w:cs="仿宋_GB2312" w:eastAsia="仿宋_GB2312"/>
              </w:rPr>
              <w:t>法定代表人身份证明及法定代表人授权委托书.docx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开标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声明、承诺.docx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供应商提供非联合体书面声明；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法定代表人身份证明及法定代表人授权委托书.docx 服务内容及服务邀请应答表 中小企业声明函 残疾人福利性单位声明函 商务应答表 声明、承诺.docx 标的清单 服务要求偏离表.docx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（3）投标报价未超过采购预算或最高限价 (合格) ，投标报价超过采购预算或最高限价(不合格 )。</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开标一览表 服务内容及服务邀请应答表 商务应答表 服务方案 标的清单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服务方案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1.总体方案（8分）</w:t>
            </w:r>
          </w:p>
        </w:tc>
        <w:tc>
          <w:tcPr>
            <w:tcW w:type="dxa" w:w="2492"/>
          </w:tcPr>
          <w:p>
            <w:pPr>
              <w:pStyle w:val="null3"/>
            </w:pPr>
            <w:r>
              <w:rPr>
                <w:rFonts w:ascii="仿宋_GB2312" w:hAnsi="仿宋_GB2312" w:cs="仿宋_GB2312" w:eastAsia="仿宋_GB2312"/>
              </w:rPr>
              <w:t>熟悉采购人现有业务系统管理流程、逻辑，对现有业务系统数据库结构进行分析。 方案设计合理、架构完整、层次清楚，完全响应本项目服务要求得8分；方案设计基本满足招标文件要求得5 分；方案较差，内容不全得3 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2.维护方案（8分）</w:t>
            </w:r>
          </w:p>
        </w:tc>
        <w:tc>
          <w:tcPr>
            <w:tcW w:type="dxa" w:w="2492"/>
          </w:tcPr>
          <w:p>
            <w:pPr>
              <w:pStyle w:val="null3"/>
            </w:pPr>
            <w:r>
              <w:rPr>
                <w:rFonts w:ascii="仿宋_GB2312" w:hAnsi="仿宋_GB2312" w:cs="仿宋_GB2312" w:eastAsia="仿宋_GB2312"/>
              </w:rPr>
              <w:t>基于采购人现有系统，并能在此基础上制定适合采购人的维护方案，能够及时响应采购人提出的业务系统修改需求，提供详细的维护方案。 方案设计合理、架构完整、层次清楚，完全响应本项目服务要求得8分；方案设计基本满足招标文件要求得5分；方案较差，内容不全得3分；未提供计0分。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3.对接方案（8分）</w:t>
            </w:r>
          </w:p>
        </w:tc>
        <w:tc>
          <w:tcPr>
            <w:tcW w:type="dxa" w:w="2492"/>
          </w:tcPr>
          <w:p>
            <w:pPr>
              <w:pStyle w:val="null3"/>
            </w:pPr>
            <w:r>
              <w:rPr>
                <w:rFonts w:ascii="仿宋_GB2312" w:hAnsi="仿宋_GB2312" w:cs="仿宋_GB2312" w:eastAsia="仿宋_GB2312"/>
              </w:rPr>
              <w:t>基于采购人现有系统，提供后续开发服务与现有系统的对接方案。 方案阐述清晰、详细，依据充分、具有可操作性得8分；方案设计基本满足招标文件要求得5分；方案较差，内容不全得3分；未提供计0分。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4.规划建议（8分）</w:t>
            </w:r>
          </w:p>
        </w:tc>
        <w:tc>
          <w:tcPr>
            <w:tcW w:type="dxa" w:w="2492"/>
          </w:tcPr>
          <w:p>
            <w:pPr>
              <w:pStyle w:val="null3"/>
            </w:pPr>
            <w:r>
              <w:rPr>
                <w:rFonts w:ascii="仿宋_GB2312" w:hAnsi="仿宋_GB2312" w:cs="仿宋_GB2312" w:eastAsia="仿宋_GB2312"/>
              </w:rPr>
              <w:t>能够结合现状，为采购方提供信息系统的发展规划建议，满足数字化管理与移动化服务转型。 方案阐述清晰、详细，依据充分、具有可操作性得8分；方案设计基本满足要求得5分；方案较差，内容不全得3分；未提供计0分。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5.服务质量保证措施及技术管理措施（6分）</w:t>
            </w:r>
          </w:p>
        </w:tc>
        <w:tc>
          <w:tcPr>
            <w:tcW w:type="dxa" w:w="2492"/>
          </w:tcPr>
          <w:p>
            <w:pPr>
              <w:pStyle w:val="null3"/>
            </w:pPr>
            <w:r>
              <w:rPr>
                <w:rFonts w:ascii="仿宋_GB2312" w:hAnsi="仿宋_GB2312" w:cs="仿宋_GB2312" w:eastAsia="仿宋_GB2312"/>
              </w:rPr>
              <w:t>措施完整、内容详实，可实施性强得6分；措施基本完整、内容一般得4分；措施不全面、内容较差，得2分；未提供计0分。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6.合理化建议（6分）</w:t>
            </w:r>
          </w:p>
        </w:tc>
        <w:tc>
          <w:tcPr>
            <w:tcW w:type="dxa" w:w="2492"/>
          </w:tcPr>
          <w:p>
            <w:pPr>
              <w:pStyle w:val="null3"/>
            </w:pPr>
            <w:r>
              <w:rPr>
                <w:rFonts w:ascii="仿宋_GB2312" w:hAnsi="仿宋_GB2312" w:cs="仿宋_GB2312" w:eastAsia="仿宋_GB2312"/>
              </w:rPr>
              <w:t>有针对本项目重难点的分析、应对措施及其他针对本项目的合理化建议，内容完整、详实，可实施性强得6分；分析建议基本完整、内容一般得4分；分析建议不全面、内容较差得2分；未提供计0分。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7.应急保障措施（6分）</w:t>
            </w:r>
          </w:p>
        </w:tc>
        <w:tc>
          <w:tcPr>
            <w:tcW w:type="dxa" w:w="2492"/>
          </w:tcPr>
          <w:p>
            <w:pPr>
              <w:pStyle w:val="null3"/>
            </w:pPr>
            <w:r>
              <w:rPr>
                <w:rFonts w:ascii="仿宋_GB2312" w:hAnsi="仿宋_GB2312" w:cs="仿宋_GB2312" w:eastAsia="仿宋_GB2312"/>
              </w:rPr>
              <w:t>针对可能出现的问题及重大故障，有具体可行的应急措施和解决方案，因运维过程中的操作失误导致的突发事件，应有对应的应急预案，且应急预案能够应对多种突发事件，并保障及时恢复正常功能的得6分；应急预案不全面，但保障措施较为可行的，得4分；保障措施较为片面，可行性较差的得2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8.人员配备（15分）</w:t>
            </w:r>
          </w:p>
        </w:tc>
        <w:tc>
          <w:tcPr>
            <w:tcW w:type="dxa" w:w="2492"/>
          </w:tcPr>
          <w:p>
            <w:pPr>
              <w:pStyle w:val="null3"/>
            </w:pPr>
            <w:r>
              <w:rPr>
                <w:rFonts w:ascii="仿宋_GB2312" w:hAnsi="仿宋_GB2312" w:cs="仿宋_GB2312" w:eastAsia="仿宋_GB2312"/>
              </w:rPr>
              <w:t>（1）项目管理机构配备（5分）服务人员的配置及综合素质必须满足招标文件要求，提供主要管理人员及技术人员履历简介，人员配备完善合理，人员专业技术能力强得5分；人员配备分工较明确，人员专业技术能力一般得3分；人员配备分工不明确，人员专业技术能力较差得1分；未提供计0分。（2）驻场人员（10分） 投标人投入本项目的服务小组包括至少 5 名驻场服务人员，且具有一年以上的管理系统现场维护经验，投标人出具承诺函，并提供小组人员 2023年1月至今已缴纳任意时段的社保缴纳证明复印件并加盖公章。满足招标文件要求得 5 分，每少一名驻场服务人员扣 1 分，扣完为止；每多一名驻场服务人员加 1 分，本项最多得 10 分，承诺函和社保缴纳证明提供不全不得分。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9.履约能力（10分）</w:t>
            </w:r>
          </w:p>
        </w:tc>
        <w:tc>
          <w:tcPr>
            <w:tcW w:type="dxa" w:w="2492"/>
          </w:tcPr>
          <w:p>
            <w:pPr>
              <w:pStyle w:val="null3"/>
            </w:pPr>
            <w:r>
              <w:rPr>
                <w:rFonts w:ascii="仿宋_GB2312" w:hAnsi="仿宋_GB2312" w:cs="仿宋_GB2312" w:eastAsia="仿宋_GB2312"/>
              </w:rPr>
              <w:t>（1）投标人具有符合国家工信部信息技术服务运行维护标准的 ITSS 证书，得2分，提供不全或未提供不得分。（2分） （2）具有中国网络安全审查技术与认证中心颁发的有效期内信息系统安全集成服务资质及软件安全开发服务资质证书得2分，提供不全或未提供不得分。（2分） （3）投标人具有较强的运维服务能力，能够提供远程视频协助服务，提供自主研发的远程视频协助服务软件著作权登记证书的得2分，提供不全或未提供不得分。（2分） （4）投标人具有有效期内的知识产权管理体系认证证书，得2分，提供不全或未提供不得分。（2分） （5）投标人具有 CMMI 三级（或以上）认证证书，得2分，提供不全或未提供不得分。（2分） （上述证书须于本项目开标前取得，提供证明材料复印件加盖公章）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10.售后服务及培训方案（5分）</w:t>
            </w:r>
          </w:p>
        </w:tc>
        <w:tc>
          <w:tcPr>
            <w:tcW w:type="dxa" w:w="2492"/>
          </w:tcPr>
          <w:p>
            <w:pPr>
              <w:pStyle w:val="null3"/>
            </w:pPr>
            <w:r>
              <w:rPr>
                <w:rFonts w:ascii="仿宋_GB2312" w:hAnsi="仿宋_GB2312" w:cs="仿宋_GB2312" w:eastAsia="仿宋_GB2312"/>
              </w:rPr>
              <w:t>（1）售后服务（3分） 投标人针对本项目及采购人实际需求提供详细具体可行的售后服务方案，包括但不限于拟投入售后服务人员配置情况、响应产品的保修、运维时间、质保期内的保修内容与范围、项目交付采购人后出现故障的响应时间、解决故障时间、补救措施等，同时具有明确的售后服务承诺且符合采购人实际需求。售后服务方案详细、具体、可行计3分；售后方案不够详细、具体，可行性差计1分；未提供计0分。 （2）培训方案（2分） 提供详尽的培训方案及培训计划，并列出培训的具体内容及方式（包括：培训人数、培训时间、培训内容等），保证使用单位能熟练操作维护和正常使用，并进行简单故障排查处理，对比各投标人的具体措施及方案。方案详细、具体、可行计2分；方案不够详细、具体，可行性差计1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11.业绩</w:t>
            </w:r>
          </w:p>
        </w:tc>
        <w:tc>
          <w:tcPr>
            <w:tcW w:type="dxa" w:w="2492"/>
          </w:tcPr>
          <w:p>
            <w:pPr>
              <w:pStyle w:val="null3"/>
            </w:pPr>
            <w:r>
              <w:rPr>
                <w:rFonts w:ascii="仿宋_GB2312" w:hAnsi="仿宋_GB2312" w:cs="仿宋_GB2312" w:eastAsia="仿宋_GB2312"/>
              </w:rPr>
              <w:t>具有2022年8月1日至今的同类业绩（以合同签订日期为准），提供合同复印件加盖公章，每提供一个计2分，满分10分。未提供计0分。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详见附件：声明、承诺.docx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