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95A04">
      <w:pPr>
        <w:pStyle w:val="3"/>
        <w:jc w:val="center"/>
        <w:outlineLvl w:val="0"/>
        <w:rPr>
          <w:rFonts w:hint="eastAsia" w:ascii="宋体" w:cs="宋体"/>
          <w:sz w:val="40"/>
          <w:szCs w:val="40"/>
        </w:rPr>
      </w:pPr>
      <w:bookmarkStart w:id="0" w:name="_Toc98593739"/>
      <w:r>
        <w:rPr>
          <w:rFonts w:hint="eastAsia" w:ascii="宋体" w:cs="宋体"/>
          <w:sz w:val="40"/>
          <w:szCs w:val="40"/>
        </w:rPr>
        <w:t>第六章  政府采购合同格式</w:t>
      </w:r>
      <w:bookmarkEnd w:id="0"/>
    </w:p>
    <w:p w14:paraId="62E7121C">
      <w:pPr>
        <w:widowControl/>
        <w:jc w:val="center"/>
        <w:rPr>
          <w:rFonts w:hint="eastAsia"/>
          <w:sz w:val="36"/>
          <w:szCs w:val="36"/>
        </w:rPr>
      </w:pPr>
    </w:p>
    <w:p w14:paraId="4201F41A">
      <w:pPr>
        <w:widowControl/>
        <w:jc w:val="center"/>
        <w:rPr>
          <w:rFonts w:hint="eastAsia"/>
          <w:sz w:val="36"/>
          <w:szCs w:val="36"/>
        </w:rPr>
      </w:pPr>
    </w:p>
    <w:p w14:paraId="06DB125D">
      <w:pPr>
        <w:widowControl/>
        <w:jc w:val="center"/>
        <w:rPr>
          <w:rFonts w:hint="eastAsia"/>
          <w:sz w:val="36"/>
          <w:szCs w:val="36"/>
        </w:rPr>
      </w:pPr>
    </w:p>
    <w:p w14:paraId="46F7C764">
      <w:pPr>
        <w:widowControl/>
        <w:spacing w:line="360" w:lineRule="auto"/>
        <w:jc w:val="center"/>
        <w:outlineLvl w:val="1"/>
        <w:rPr>
          <w:rFonts w:hint="eastAsia"/>
          <w:b/>
          <w:bCs/>
          <w:sz w:val="36"/>
          <w:szCs w:val="36"/>
        </w:rPr>
      </w:pPr>
      <w:bookmarkStart w:id="1" w:name="_Toc1355079536"/>
      <w:r>
        <w:rPr>
          <w:rFonts w:hint="eastAsia"/>
          <w:b/>
          <w:bCs/>
          <w:sz w:val="36"/>
          <w:szCs w:val="36"/>
        </w:rPr>
        <w:t>西安住房公积金管理中心</w:t>
      </w:r>
      <w:bookmarkEnd w:id="1"/>
    </w:p>
    <w:p w14:paraId="641AC54B">
      <w:pPr>
        <w:widowControl/>
        <w:spacing w:line="360" w:lineRule="auto"/>
        <w:jc w:val="center"/>
        <w:rPr>
          <w:rFonts w:hint="eastAsia" w:eastAsia="宋体"/>
          <w:b/>
          <w:bCs/>
          <w:sz w:val="36"/>
          <w:szCs w:val="36"/>
          <w:lang w:eastAsia="zh-CN"/>
        </w:rPr>
      </w:pPr>
      <w:r>
        <w:rPr>
          <w:rFonts w:hint="eastAsia"/>
          <w:b/>
          <w:bCs/>
          <w:sz w:val="36"/>
          <w:szCs w:val="36"/>
          <w:lang w:eastAsia="zh-CN"/>
        </w:rPr>
        <w:t>2025年度信息系统软件维保和后续开发服务采购</w:t>
      </w:r>
    </w:p>
    <w:p w14:paraId="520BFE19">
      <w:pPr>
        <w:widowControl/>
        <w:spacing w:line="360" w:lineRule="auto"/>
        <w:jc w:val="center"/>
        <w:rPr>
          <w:rFonts w:ascii="宋体" w:hAnsi="宋体" w:cs="宋体"/>
          <w:b/>
          <w:bCs/>
          <w:color w:val="000000"/>
          <w:kern w:val="0"/>
          <w:sz w:val="55"/>
          <w:szCs w:val="55"/>
          <w:lang w:bidi="ar"/>
        </w:rPr>
      </w:pPr>
    </w:p>
    <w:p w14:paraId="3E4832CE">
      <w:pPr>
        <w:widowControl/>
        <w:spacing w:line="360" w:lineRule="auto"/>
        <w:jc w:val="center"/>
        <w:rPr>
          <w:rFonts w:ascii="宋体" w:hAnsi="宋体" w:cs="宋体"/>
          <w:b/>
          <w:bCs/>
          <w:color w:val="000000"/>
          <w:kern w:val="0"/>
          <w:sz w:val="55"/>
          <w:szCs w:val="55"/>
          <w:lang w:bidi="ar"/>
        </w:rPr>
      </w:pPr>
    </w:p>
    <w:p w14:paraId="45AEACA0">
      <w:pPr>
        <w:widowControl/>
        <w:spacing w:line="360" w:lineRule="auto"/>
        <w:jc w:val="center"/>
        <w:rPr>
          <w:rFonts w:ascii="宋体" w:hAnsi="宋体" w:cs="宋体"/>
          <w:b/>
          <w:bCs/>
          <w:color w:val="000000"/>
          <w:kern w:val="0"/>
          <w:sz w:val="55"/>
          <w:szCs w:val="55"/>
          <w:lang w:bidi="ar"/>
        </w:rPr>
      </w:pPr>
    </w:p>
    <w:p w14:paraId="650FC385">
      <w:pPr>
        <w:widowControl/>
        <w:spacing w:line="360" w:lineRule="auto"/>
        <w:jc w:val="center"/>
      </w:pPr>
      <w:r>
        <w:rPr>
          <w:rFonts w:ascii="宋体" w:hAnsi="宋体" w:cs="宋体"/>
          <w:b/>
          <w:bCs/>
          <w:color w:val="000000"/>
          <w:kern w:val="0"/>
          <w:sz w:val="55"/>
          <w:szCs w:val="55"/>
          <w:lang w:bidi="ar"/>
        </w:rPr>
        <w:t>合 同 书</w:t>
      </w:r>
    </w:p>
    <w:p w14:paraId="77AC5639">
      <w:pPr>
        <w:widowControl/>
        <w:spacing w:line="360" w:lineRule="auto"/>
        <w:jc w:val="center"/>
        <w:rPr>
          <w:rFonts w:ascii="宋体" w:hAnsi="宋体" w:cs="宋体"/>
          <w:b/>
          <w:bCs/>
          <w:color w:val="000000"/>
          <w:kern w:val="0"/>
          <w:sz w:val="31"/>
          <w:szCs w:val="31"/>
          <w:lang w:bidi="ar"/>
        </w:rPr>
      </w:pPr>
    </w:p>
    <w:p w14:paraId="5131AE27">
      <w:pPr>
        <w:widowControl/>
        <w:spacing w:line="360" w:lineRule="auto"/>
        <w:jc w:val="center"/>
        <w:rPr>
          <w:sz w:val="20"/>
          <w:szCs w:val="22"/>
        </w:rPr>
      </w:pPr>
      <w:r>
        <w:rPr>
          <w:rFonts w:ascii="宋体" w:hAnsi="宋体" w:cs="宋体"/>
          <w:b/>
          <w:bCs/>
          <w:color w:val="000000"/>
          <w:kern w:val="0"/>
          <w:sz w:val="28"/>
          <w:szCs w:val="28"/>
          <w:lang w:bidi="ar"/>
        </w:rPr>
        <w:t>（编号：）</w:t>
      </w:r>
    </w:p>
    <w:p w14:paraId="6519036A">
      <w:pPr>
        <w:widowControl/>
        <w:spacing w:line="360" w:lineRule="auto"/>
        <w:ind w:firstLine="1506" w:firstLineChars="500"/>
        <w:jc w:val="left"/>
        <w:rPr>
          <w:rFonts w:ascii="宋体" w:hAnsi="宋体" w:cs="宋体"/>
          <w:b/>
          <w:bCs/>
          <w:color w:val="000000"/>
          <w:kern w:val="0"/>
          <w:sz w:val="30"/>
          <w:szCs w:val="30"/>
          <w:lang w:bidi="ar"/>
        </w:rPr>
      </w:pPr>
    </w:p>
    <w:p w14:paraId="5F818398">
      <w:pPr>
        <w:widowControl/>
        <w:spacing w:line="360" w:lineRule="auto"/>
        <w:ind w:firstLine="1506" w:firstLineChars="500"/>
        <w:jc w:val="left"/>
        <w:rPr>
          <w:rFonts w:ascii="宋体" w:hAnsi="宋体" w:cs="宋体"/>
          <w:b/>
          <w:bCs/>
          <w:color w:val="000000"/>
          <w:kern w:val="0"/>
          <w:sz w:val="30"/>
          <w:szCs w:val="30"/>
          <w:lang w:bidi="ar"/>
        </w:rPr>
      </w:pPr>
    </w:p>
    <w:p w14:paraId="01F93896">
      <w:pPr>
        <w:widowControl/>
        <w:spacing w:line="360" w:lineRule="auto"/>
        <w:ind w:firstLine="1506" w:firstLineChars="500"/>
        <w:jc w:val="left"/>
        <w:rPr>
          <w:rFonts w:ascii="宋体" w:hAnsi="宋体" w:cs="宋体"/>
          <w:b/>
          <w:bCs/>
          <w:color w:val="000000"/>
          <w:kern w:val="0"/>
          <w:sz w:val="30"/>
          <w:szCs w:val="30"/>
          <w:lang w:bidi="ar"/>
        </w:rPr>
      </w:pPr>
    </w:p>
    <w:p w14:paraId="2374DDB4">
      <w:pPr>
        <w:widowControl/>
        <w:spacing w:line="360" w:lineRule="auto"/>
        <w:ind w:firstLine="1400" w:firstLineChars="500"/>
        <w:jc w:val="left"/>
        <w:rPr>
          <w:sz w:val="20"/>
          <w:szCs w:val="22"/>
        </w:rPr>
      </w:pPr>
      <w:r>
        <w:rPr>
          <w:rFonts w:ascii="宋体" w:hAnsi="宋体" w:cs="宋体"/>
          <w:color w:val="000000"/>
          <w:kern w:val="0"/>
          <w:sz w:val="28"/>
          <w:szCs w:val="28"/>
          <w:lang w:bidi="ar"/>
        </w:rPr>
        <w:t xml:space="preserve">采购人(甲方)：西安住房公积金管理中心 </w:t>
      </w:r>
    </w:p>
    <w:p w14:paraId="0DD94BCB">
      <w:pPr>
        <w:widowControl/>
        <w:spacing w:line="360" w:lineRule="auto"/>
        <w:ind w:firstLine="1400" w:firstLineChars="500"/>
        <w:jc w:val="left"/>
        <w:rPr>
          <w:sz w:val="20"/>
          <w:szCs w:val="22"/>
        </w:rPr>
      </w:pPr>
      <w:r>
        <w:rPr>
          <w:rFonts w:hint="eastAsia" w:ascii="宋体" w:hAnsi="宋体" w:cs="宋体"/>
          <w:color w:val="000000"/>
          <w:kern w:val="0"/>
          <w:sz w:val="28"/>
          <w:szCs w:val="28"/>
          <w:lang w:bidi="ar"/>
        </w:rPr>
        <w:t>投标人</w:t>
      </w:r>
      <w:r>
        <w:rPr>
          <w:rFonts w:ascii="宋体" w:hAnsi="宋体" w:cs="宋体"/>
          <w:color w:val="000000"/>
          <w:kern w:val="0"/>
          <w:sz w:val="28"/>
          <w:szCs w:val="28"/>
          <w:lang w:bidi="ar"/>
        </w:rPr>
        <w:t xml:space="preserve">(乙方)： </w:t>
      </w:r>
    </w:p>
    <w:p w14:paraId="475D8E8E">
      <w:pPr>
        <w:widowControl/>
        <w:spacing w:line="360" w:lineRule="auto"/>
        <w:ind w:firstLine="1400" w:firstLineChars="500"/>
        <w:jc w:val="left"/>
        <w:rPr>
          <w:sz w:val="20"/>
          <w:szCs w:val="22"/>
        </w:rPr>
      </w:pPr>
      <w:r>
        <w:rPr>
          <w:rFonts w:hint="eastAsia" w:ascii="宋体" w:hAnsi="宋体" w:cs="宋体"/>
          <w:color w:val="000000"/>
          <w:kern w:val="0"/>
          <w:sz w:val="28"/>
          <w:szCs w:val="28"/>
          <w:lang w:val="en-US" w:eastAsia="zh-CN" w:bidi="ar"/>
        </w:rPr>
        <w:t xml:space="preserve"> </w:t>
      </w:r>
      <w:r>
        <w:rPr>
          <w:rFonts w:ascii="宋体" w:hAnsi="宋体" w:cs="宋体"/>
          <w:color w:val="000000"/>
          <w:kern w:val="0"/>
          <w:sz w:val="28"/>
          <w:szCs w:val="28"/>
          <w:lang w:bidi="ar"/>
        </w:rPr>
        <w:t xml:space="preserve"> </w:t>
      </w:r>
    </w:p>
    <w:p w14:paraId="2E99094E">
      <w:pPr>
        <w:widowControl/>
        <w:jc w:val="center"/>
        <w:rPr>
          <w:sz w:val="20"/>
          <w:szCs w:val="22"/>
        </w:rPr>
      </w:pPr>
      <w:r>
        <w:rPr>
          <w:rFonts w:ascii="宋体" w:hAnsi="宋体" w:cs="宋体"/>
          <w:color w:val="000000"/>
          <w:kern w:val="0"/>
          <w:sz w:val="28"/>
          <w:szCs w:val="28"/>
          <w:lang w:bidi="ar"/>
        </w:rPr>
        <w:t>20</w:t>
      </w:r>
      <w:r>
        <w:rPr>
          <w:rFonts w:hint="eastAsia" w:ascii="宋体" w:hAnsi="宋体" w:cs="宋体"/>
          <w:color w:val="000000"/>
          <w:kern w:val="0"/>
          <w:sz w:val="28"/>
          <w:szCs w:val="28"/>
          <w:lang w:bidi="ar"/>
        </w:rPr>
        <w:t>2</w:t>
      </w:r>
      <w:r>
        <w:rPr>
          <w:rFonts w:hint="eastAsia" w:ascii="宋体" w:hAnsi="宋体" w:cs="宋体"/>
          <w:color w:val="000000"/>
          <w:kern w:val="0"/>
          <w:sz w:val="28"/>
          <w:szCs w:val="28"/>
          <w:lang w:val="en-US" w:eastAsia="zh-CN" w:bidi="ar"/>
        </w:rPr>
        <w:t>5</w:t>
      </w:r>
      <w:r>
        <w:rPr>
          <w:rFonts w:ascii="宋体" w:hAnsi="宋体" w:cs="宋体"/>
          <w:color w:val="000000"/>
          <w:kern w:val="0"/>
          <w:sz w:val="28"/>
          <w:szCs w:val="28"/>
          <w:lang w:bidi="ar"/>
        </w:rPr>
        <w:t>年 月</w:t>
      </w:r>
    </w:p>
    <w:p w14:paraId="6C68E49B">
      <w:pPr>
        <w:widowControl/>
        <w:jc w:val="center"/>
        <w:rPr>
          <w:sz w:val="20"/>
          <w:szCs w:val="22"/>
        </w:rPr>
      </w:pPr>
      <w:r>
        <w:rPr>
          <w:rFonts w:ascii="宋体" w:hAnsi="宋体" w:cs="宋体"/>
          <w:color w:val="000000"/>
          <w:kern w:val="0"/>
          <w:sz w:val="28"/>
          <w:szCs w:val="28"/>
          <w:lang w:bidi="ar"/>
        </w:rPr>
        <w:t>中国 西安</w:t>
      </w:r>
    </w:p>
    <w:p w14:paraId="5E19AC40">
      <w:pPr>
        <w:widowControl/>
        <w:spacing w:line="360" w:lineRule="auto"/>
        <w:ind w:firstLine="440" w:firstLineChars="200"/>
        <w:jc w:val="left"/>
        <w:rPr>
          <w:rFonts w:ascii="宋体" w:hAnsi="宋体" w:cs="宋体"/>
          <w:color w:val="000000"/>
          <w:kern w:val="0"/>
          <w:szCs w:val="21"/>
          <w:lang w:bidi="ar"/>
        </w:rPr>
      </w:pPr>
      <w:r>
        <w:rPr>
          <w:rFonts w:ascii="宋体" w:hAnsi="宋体" w:cs="宋体"/>
          <w:color w:val="000000"/>
          <w:kern w:val="0"/>
          <w:sz w:val="22"/>
          <w:szCs w:val="22"/>
          <w:lang w:bidi="ar"/>
        </w:rPr>
        <w:br w:type="page"/>
      </w:r>
      <w:r>
        <w:rPr>
          <w:rFonts w:ascii="宋体" w:hAnsi="宋体" w:cs="宋体"/>
          <w:color w:val="000000"/>
          <w:kern w:val="0"/>
          <w:szCs w:val="21"/>
          <w:lang w:bidi="ar"/>
        </w:rPr>
        <w:t>甲方：西安住房公积金管理中心</w:t>
      </w:r>
    </w:p>
    <w:p w14:paraId="6B85EF4D">
      <w:pPr>
        <w:widowControl/>
        <w:spacing w:line="360" w:lineRule="auto"/>
        <w:ind w:firstLine="420" w:firstLineChars="200"/>
        <w:jc w:val="left"/>
        <w:rPr>
          <w:szCs w:val="21"/>
        </w:rPr>
      </w:pPr>
      <w:r>
        <w:rPr>
          <w:rFonts w:ascii="宋体" w:hAnsi="宋体" w:cs="宋体"/>
          <w:color w:val="000000"/>
          <w:kern w:val="0"/>
          <w:szCs w:val="21"/>
          <w:lang w:bidi="ar"/>
        </w:rPr>
        <w:t xml:space="preserve">乙方： </w:t>
      </w:r>
    </w:p>
    <w:p w14:paraId="096B2A6E">
      <w:pPr>
        <w:widowControl/>
        <w:spacing w:line="360" w:lineRule="auto"/>
        <w:ind w:firstLine="420" w:firstLineChars="200"/>
        <w:jc w:val="left"/>
        <w:rPr>
          <w:szCs w:val="21"/>
        </w:rPr>
      </w:pPr>
      <w:r>
        <w:rPr>
          <w:rFonts w:ascii="宋体" w:hAnsi="宋体" w:cs="宋体"/>
          <w:color w:val="000000"/>
          <w:kern w:val="0"/>
          <w:szCs w:val="21"/>
          <w:lang w:bidi="ar"/>
        </w:rPr>
        <w:t xml:space="preserve">鉴证方：陕西诠睿项目管理有限公司 </w:t>
      </w:r>
    </w:p>
    <w:p w14:paraId="260AE967">
      <w:pPr>
        <w:widowControl/>
        <w:spacing w:line="360" w:lineRule="auto"/>
        <w:ind w:firstLine="420" w:firstLineChars="200"/>
        <w:jc w:val="left"/>
        <w:rPr>
          <w:szCs w:val="21"/>
        </w:rPr>
      </w:pPr>
      <w:r>
        <w:rPr>
          <w:rFonts w:ascii="宋体" w:hAnsi="宋体" w:cs="宋体"/>
          <w:color w:val="000000"/>
          <w:kern w:val="0"/>
          <w:szCs w:val="21"/>
          <w:lang w:bidi="ar"/>
        </w:rPr>
        <w:t>鉴证方就甲方所需服务，在西安市财政局政府采购管理处的监督管理下，按照政府采购程序组织公开招标采购，确定乙方为</w:t>
      </w:r>
      <w:r>
        <w:rPr>
          <w:rFonts w:hint="eastAsia"/>
          <w:szCs w:val="18"/>
        </w:rPr>
        <w:t>西安住房公积金管理中心2025年度信息系统软件维保和后续开发服务采购</w:t>
      </w:r>
      <w:r>
        <w:rPr>
          <w:rFonts w:ascii="宋体" w:hAnsi="宋体" w:cs="宋体"/>
          <w:color w:val="000000"/>
          <w:kern w:val="0"/>
          <w:szCs w:val="21"/>
          <w:lang w:bidi="ar"/>
        </w:rPr>
        <w:t>（编号：</w:t>
      </w:r>
      <w:r>
        <w:rPr>
          <w:rFonts w:hint="eastAsia" w:ascii="宋体" w:hAnsi="宋体" w:cs="宋体"/>
          <w:color w:val="000000"/>
          <w:kern w:val="0"/>
          <w:szCs w:val="21"/>
          <w:lang w:eastAsia="zh-CN" w:bidi="ar"/>
        </w:rPr>
        <w:t>QR-ZC-2025030</w:t>
      </w:r>
      <w:r>
        <w:rPr>
          <w:rFonts w:ascii="宋体" w:hAnsi="宋体" w:cs="宋体"/>
          <w:color w:val="000000"/>
          <w:kern w:val="0"/>
          <w:szCs w:val="21"/>
          <w:lang w:bidi="ar"/>
        </w:rPr>
        <w:t>）项目的中标</w:t>
      </w:r>
      <w:r>
        <w:rPr>
          <w:rFonts w:hint="eastAsia" w:ascii="宋体" w:hAnsi="宋体" w:cs="宋体"/>
          <w:color w:val="000000"/>
          <w:kern w:val="0"/>
          <w:szCs w:val="21"/>
          <w:lang w:bidi="ar"/>
        </w:rPr>
        <w:t>人</w:t>
      </w:r>
      <w:r>
        <w:rPr>
          <w:rFonts w:ascii="宋体" w:hAnsi="宋体" w:cs="宋体"/>
          <w:color w:val="000000"/>
          <w:kern w:val="0"/>
          <w:szCs w:val="21"/>
          <w:lang w:bidi="ar"/>
        </w:rPr>
        <w:t>。依据《中华人民共和国政府采购法》、《中华人民共和国民法典》以及公开招标采购文件、中标通知书，经</w:t>
      </w:r>
      <w:r>
        <w:rPr>
          <w:rFonts w:hint="eastAsia" w:ascii="宋体" w:hAnsi="宋体" w:cs="宋体"/>
          <w:color w:val="000000"/>
          <w:kern w:val="0"/>
          <w:szCs w:val="21"/>
          <w:lang w:bidi="ar"/>
        </w:rPr>
        <w:t>甲、</w:t>
      </w:r>
      <w:r>
        <w:rPr>
          <w:rFonts w:ascii="宋体" w:hAnsi="宋体" w:cs="宋体"/>
          <w:color w:val="000000"/>
          <w:kern w:val="0"/>
          <w:szCs w:val="21"/>
          <w:lang w:bidi="ar"/>
        </w:rPr>
        <w:t xml:space="preserve">乙双方协商，鉴证方确认，达成如下合同条款。 </w:t>
      </w:r>
    </w:p>
    <w:p w14:paraId="4E790626">
      <w:pPr>
        <w:widowControl/>
        <w:jc w:val="left"/>
      </w:pPr>
      <w:r>
        <w:rPr>
          <w:rFonts w:ascii="宋体" w:hAnsi="宋体" w:cs="宋体"/>
          <w:b/>
          <w:bCs/>
          <w:color w:val="000000"/>
          <w:kern w:val="0"/>
          <w:sz w:val="28"/>
          <w:szCs w:val="28"/>
          <w:lang w:bidi="ar"/>
        </w:rPr>
        <w:t>一、合同标的物内容及数量（以投标文件、和澄清表〈函〉为准）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120"/>
        <w:gridCol w:w="2054"/>
        <w:gridCol w:w="3897"/>
        <w:gridCol w:w="676"/>
      </w:tblGrid>
      <w:tr w14:paraId="797D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top"/>
          </w:tcPr>
          <w:p w14:paraId="0D07D325">
            <w:pPr>
              <w:spacing w:line="360" w:lineRule="auto"/>
              <w:jc w:val="center"/>
              <w:rPr>
                <w:rFonts w:hint="eastAsia" w:ascii="宋体" w:hAnsi="宋体" w:cs="宋体"/>
                <w:szCs w:val="21"/>
              </w:rPr>
            </w:pPr>
            <w:r>
              <w:rPr>
                <w:rFonts w:hint="eastAsia" w:ascii="宋体" w:hAnsi="宋体" w:cs="宋体"/>
                <w:szCs w:val="21"/>
              </w:rPr>
              <w:t>序号</w:t>
            </w:r>
          </w:p>
        </w:tc>
        <w:tc>
          <w:tcPr>
            <w:tcW w:w="1189" w:type="dxa"/>
            <w:noWrap w:val="0"/>
            <w:vAlign w:val="top"/>
          </w:tcPr>
          <w:p w14:paraId="5FB4C784">
            <w:pPr>
              <w:spacing w:line="360" w:lineRule="auto"/>
              <w:jc w:val="center"/>
              <w:rPr>
                <w:rFonts w:hint="eastAsia" w:ascii="宋体" w:hAnsi="宋体" w:cs="宋体"/>
                <w:szCs w:val="21"/>
              </w:rPr>
            </w:pPr>
            <w:r>
              <w:rPr>
                <w:rFonts w:hint="eastAsia" w:ascii="宋体" w:hAnsi="宋体" w:cs="宋体"/>
                <w:szCs w:val="21"/>
              </w:rPr>
              <w:t>内容</w:t>
            </w:r>
          </w:p>
        </w:tc>
        <w:tc>
          <w:tcPr>
            <w:tcW w:w="2196" w:type="dxa"/>
            <w:noWrap w:val="0"/>
            <w:vAlign w:val="top"/>
          </w:tcPr>
          <w:p w14:paraId="02566922">
            <w:pPr>
              <w:spacing w:line="360" w:lineRule="auto"/>
              <w:jc w:val="center"/>
              <w:rPr>
                <w:rFonts w:hint="eastAsia" w:ascii="宋体" w:hAnsi="宋体" w:cs="宋体"/>
                <w:szCs w:val="21"/>
              </w:rPr>
            </w:pPr>
            <w:r>
              <w:rPr>
                <w:rFonts w:hint="eastAsia" w:ascii="宋体" w:hAnsi="宋体" w:cs="宋体"/>
                <w:szCs w:val="21"/>
              </w:rPr>
              <w:t>报价（元）</w:t>
            </w:r>
          </w:p>
        </w:tc>
        <w:tc>
          <w:tcPr>
            <w:tcW w:w="4293" w:type="dxa"/>
            <w:noWrap w:val="0"/>
            <w:vAlign w:val="top"/>
          </w:tcPr>
          <w:p w14:paraId="7B512FC0">
            <w:pPr>
              <w:spacing w:line="360" w:lineRule="auto"/>
              <w:jc w:val="center"/>
              <w:rPr>
                <w:rFonts w:hint="eastAsia" w:ascii="宋体" w:hAnsi="宋体" w:cs="宋体"/>
                <w:szCs w:val="21"/>
              </w:rPr>
            </w:pPr>
            <w:r>
              <w:rPr>
                <w:rFonts w:hint="eastAsia" w:ascii="宋体" w:hAnsi="宋体" w:cs="宋体"/>
                <w:szCs w:val="21"/>
              </w:rPr>
              <w:t>说明</w:t>
            </w:r>
          </w:p>
        </w:tc>
        <w:tc>
          <w:tcPr>
            <w:tcW w:w="693" w:type="dxa"/>
            <w:noWrap w:val="0"/>
            <w:vAlign w:val="top"/>
          </w:tcPr>
          <w:p w14:paraId="1A99C0BE">
            <w:pPr>
              <w:spacing w:line="360" w:lineRule="auto"/>
              <w:jc w:val="center"/>
              <w:rPr>
                <w:rFonts w:hint="eastAsia" w:ascii="宋体" w:hAnsi="宋体" w:cs="宋体"/>
                <w:szCs w:val="21"/>
              </w:rPr>
            </w:pPr>
            <w:r>
              <w:rPr>
                <w:rFonts w:hint="eastAsia" w:ascii="宋体" w:hAnsi="宋体" w:cs="宋体"/>
                <w:szCs w:val="21"/>
              </w:rPr>
              <w:t>备注</w:t>
            </w:r>
          </w:p>
        </w:tc>
      </w:tr>
      <w:tr w14:paraId="4D30A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700ADEB4">
            <w:pPr>
              <w:spacing w:line="360" w:lineRule="auto"/>
              <w:jc w:val="center"/>
              <w:rPr>
                <w:rFonts w:hint="eastAsia" w:ascii="宋体" w:hAnsi="宋体" w:cs="宋体"/>
                <w:szCs w:val="21"/>
              </w:rPr>
            </w:pPr>
            <w:r>
              <w:rPr>
                <w:rFonts w:hint="eastAsia" w:ascii="宋体" w:hAnsi="宋体" w:cs="宋体"/>
                <w:szCs w:val="21"/>
              </w:rPr>
              <w:t>1</w:t>
            </w:r>
          </w:p>
        </w:tc>
        <w:tc>
          <w:tcPr>
            <w:tcW w:w="1189" w:type="dxa"/>
            <w:noWrap w:val="0"/>
            <w:vAlign w:val="center"/>
          </w:tcPr>
          <w:p w14:paraId="349A2387">
            <w:pPr>
              <w:spacing w:line="360" w:lineRule="auto"/>
              <w:jc w:val="center"/>
              <w:rPr>
                <w:rFonts w:ascii="宋体" w:hAnsi="宋体" w:cs="宋体"/>
                <w:szCs w:val="21"/>
              </w:rPr>
            </w:pPr>
          </w:p>
        </w:tc>
        <w:tc>
          <w:tcPr>
            <w:tcW w:w="2196" w:type="dxa"/>
            <w:noWrap w:val="0"/>
            <w:vAlign w:val="center"/>
          </w:tcPr>
          <w:p w14:paraId="6FEB8CCD">
            <w:pPr>
              <w:spacing w:line="360" w:lineRule="auto"/>
              <w:jc w:val="center"/>
              <w:rPr>
                <w:rFonts w:hint="eastAsia" w:ascii="宋体" w:hAnsi="宋体" w:cs="宋体"/>
                <w:szCs w:val="21"/>
              </w:rPr>
            </w:pPr>
          </w:p>
        </w:tc>
        <w:tc>
          <w:tcPr>
            <w:tcW w:w="4293" w:type="dxa"/>
            <w:noWrap w:val="0"/>
            <w:vAlign w:val="top"/>
          </w:tcPr>
          <w:p w14:paraId="49CA2E67">
            <w:pPr>
              <w:spacing w:line="360" w:lineRule="auto"/>
              <w:rPr>
                <w:rFonts w:hint="eastAsia" w:ascii="宋体" w:hAnsi="宋体" w:cs="宋体"/>
                <w:szCs w:val="21"/>
              </w:rPr>
            </w:pPr>
          </w:p>
        </w:tc>
        <w:tc>
          <w:tcPr>
            <w:tcW w:w="693" w:type="dxa"/>
            <w:noWrap w:val="0"/>
            <w:vAlign w:val="top"/>
          </w:tcPr>
          <w:p w14:paraId="1E180B9A">
            <w:pPr>
              <w:spacing w:line="360" w:lineRule="auto"/>
              <w:rPr>
                <w:rFonts w:hint="eastAsia" w:ascii="宋体" w:hAnsi="宋体" w:cs="宋体"/>
                <w:szCs w:val="21"/>
              </w:rPr>
            </w:pPr>
          </w:p>
        </w:tc>
      </w:tr>
      <w:tr w14:paraId="13FA2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295E8042">
            <w:pPr>
              <w:spacing w:line="360" w:lineRule="auto"/>
              <w:jc w:val="center"/>
              <w:rPr>
                <w:rFonts w:hint="eastAsia" w:ascii="宋体" w:hAnsi="宋体" w:cs="宋体"/>
                <w:szCs w:val="21"/>
              </w:rPr>
            </w:pPr>
            <w:r>
              <w:rPr>
                <w:rFonts w:hint="eastAsia" w:ascii="宋体" w:hAnsi="宋体" w:cs="宋体"/>
                <w:szCs w:val="21"/>
              </w:rPr>
              <w:t>2</w:t>
            </w:r>
          </w:p>
        </w:tc>
        <w:tc>
          <w:tcPr>
            <w:tcW w:w="1189" w:type="dxa"/>
            <w:noWrap w:val="0"/>
            <w:vAlign w:val="center"/>
          </w:tcPr>
          <w:p w14:paraId="587C72C6">
            <w:pPr>
              <w:spacing w:line="360" w:lineRule="auto"/>
              <w:jc w:val="center"/>
              <w:rPr>
                <w:rFonts w:hint="eastAsia" w:ascii="宋体" w:hAnsi="宋体" w:cs="宋体"/>
                <w:szCs w:val="21"/>
              </w:rPr>
            </w:pPr>
          </w:p>
        </w:tc>
        <w:tc>
          <w:tcPr>
            <w:tcW w:w="2196" w:type="dxa"/>
            <w:noWrap w:val="0"/>
            <w:vAlign w:val="center"/>
          </w:tcPr>
          <w:p w14:paraId="151A0691">
            <w:pPr>
              <w:spacing w:line="360" w:lineRule="auto"/>
              <w:jc w:val="center"/>
              <w:rPr>
                <w:rFonts w:hint="eastAsia" w:ascii="宋体" w:hAnsi="宋体" w:cs="宋体"/>
                <w:szCs w:val="21"/>
              </w:rPr>
            </w:pPr>
          </w:p>
        </w:tc>
        <w:tc>
          <w:tcPr>
            <w:tcW w:w="4293" w:type="dxa"/>
            <w:noWrap w:val="0"/>
            <w:vAlign w:val="top"/>
          </w:tcPr>
          <w:p w14:paraId="77ACC51C">
            <w:pPr>
              <w:spacing w:line="360" w:lineRule="auto"/>
              <w:rPr>
                <w:rFonts w:hint="eastAsia" w:ascii="宋体" w:hAnsi="宋体" w:cs="宋体"/>
                <w:szCs w:val="21"/>
              </w:rPr>
            </w:pPr>
          </w:p>
        </w:tc>
        <w:tc>
          <w:tcPr>
            <w:tcW w:w="693" w:type="dxa"/>
            <w:noWrap w:val="0"/>
            <w:vAlign w:val="top"/>
          </w:tcPr>
          <w:p w14:paraId="3E6D8F37">
            <w:pPr>
              <w:spacing w:line="360" w:lineRule="auto"/>
              <w:rPr>
                <w:rFonts w:hint="eastAsia" w:ascii="宋体" w:hAnsi="宋体" w:cs="宋体"/>
                <w:szCs w:val="21"/>
              </w:rPr>
            </w:pPr>
          </w:p>
        </w:tc>
      </w:tr>
      <w:tr w14:paraId="65C90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461FB5B3">
            <w:pPr>
              <w:spacing w:line="360" w:lineRule="auto"/>
              <w:jc w:val="center"/>
              <w:rPr>
                <w:rFonts w:ascii="宋体" w:hAnsi="宋体" w:cs="宋体"/>
                <w:szCs w:val="21"/>
              </w:rPr>
            </w:pPr>
            <w:r>
              <w:rPr>
                <w:rFonts w:hint="eastAsia" w:ascii="宋体" w:hAnsi="宋体" w:cs="宋体"/>
                <w:szCs w:val="21"/>
              </w:rPr>
              <w:t>3</w:t>
            </w:r>
          </w:p>
        </w:tc>
        <w:tc>
          <w:tcPr>
            <w:tcW w:w="1189" w:type="dxa"/>
            <w:noWrap w:val="0"/>
            <w:vAlign w:val="center"/>
          </w:tcPr>
          <w:p w14:paraId="45AED391">
            <w:pPr>
              <w:spacing w:line="360" w:lineRule="auto"/>
              <w:jc w:val="center"/>
              <w:rPr>
                <w:rFonts w:hint="eastAsia" w:ascii="宋体" w:hAnsi="宋体" w:cs="宋体"/>
                <w:szCs w:val="21"/>
              </w:rPr>
            </w:pPr>
          </w:p>
        </w:tc>
        <w:tc>
          <w:tcPr>
            <w:tcW w:w="2196" w:type="dxa"/>
            <w:noWrap w:val="0"/>
            <w:vAlign w:val="center"/>
          </w:tcPr>
          <w:p w14:paraId="6CF1958B">
            <w:pPr>
              <w:spacing w:line="360" w:lineRule="auto"/>
              <w:jc w:val="center"/>
              <w:rPr>
                <w:rFonts w:hint="eastAsia" w:ascii="宋体" w:hAnsi="宋体" w:cs="宋体"/>
                <w:szCs w:val="21"/>
              </w:rPr>
            </w:pPr>
          </w:p>
        </w:tc>
        <w:tc>
          <w:tcPr>
            <w:tcW w:w="4293" w:type="dxa"/>
            <w:noWrap w:val="0"/>
            <w:vAlign w:val="top"/>
          </w:tcPr>
          <w:p w14:paraId="6F993093">
            <w:pPr>
              <w:spacing w:line="360" w:lineRule="auto"/>
              <w:rPr>
                <w:rFonts w:hint="eastAsia" w:ascii="宋体" w:hAnsi="宋体" w:cs="宋体"/>
                <w:szCs w:val="21"/>
              </w:rPr>
            </w:pPr>
          </w:p>
        </w:tc>
        <w:tc>
          <w:tcPr>
            <w:tcW w:w="693" w:type="dxa"/>
            <w:noWrap w:val="0"/>
            <w:vAlign w:val="top"/>
          </w:tcPr>
          <w:p w14:paraId="2EA44084">
            <w:pPr>
              <w:spacing w:line="360" w:lineRule="auto"/>
              <w:rPr>
                <w:rFonts w:hint="eastAsia" w:ascii="宋体" w:hAnsi="宋体" w:cs="宋体"/>
                <w:szCs w:val="21"/>
              </w:rPr>
            </w:pPr>
          </w:p>
        </w:tc>
      </w:tr>
      <w:tr w14:paraId="123D6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05B28FA3">
            <w:pPr>
              <w:spacing w:line="360" w:lineRule="auto"/>
              <w:jc w:val="center"/>
              <w:rPr>
                <w:rFonts w:ascii="宋体" w:hAnsi="宋体" w:cs="宋体"/>
                <w:szCs w:val="21"/>
              </w:rPr>
            </w:pPr>
            <w:r>
              <w:rPr>
                <w:rFonts w:ascii="宋体" w:hAnsi="宋体" w:cs="宋体"/>
                <w:szCs w:val="21"/>
              </w:rPr>
              <w:t>...</w:t>
            </w:r>
          </w:p>
        </w:tc>
        <w:tc>
          <w:tcPr>
            <w:tcW w:w="1189" w:type="dxa"/>
            <w:noWrap w:val="0"/>
            <w:vAlign w:val="center"/>
          </w:tcPr>
          <w:p w14:paraId="334246AC">
            <w:pPr>
              <w:spacing w:line="360" w:lineRule="auto"/>
              <w:jc w:val="center"/>
              <w:rPr>
                <w:rFonts w:ascii="宋体" w:hAnsi="宋体" w:cs="宋体"/>
                <w:szCs w:val="21"/>
              </w:rPr>
            </w:pPr>
            <w:r>
              <w:rPr>
                <w:rFonts w:ascii="宋体" w:hAnsi="宋体" w:cs="宋体"/>
                <w:szCs w:val="21"/>
              </w:rPr>
              <w:t>...</w:t>
            </w:r>
          </w:p>
        </w:tc>
        <w:tc>
          <w:tcPr>
            <w:tcW w:w="2196" w:type="dxa"/>
            <w:noWrap w:val="0"/>
            <w:vAlign w:val="center"/>
          </w:tcPr>
          <w:p w14:paraId="3EEEFC16">
            <w:pPr>
              <w:spacing w:line="360" w:lineRule="auto"/>
              <w:jc w:val="center"/>
              <w:rPr>
                <w:rFonts w:ascii="宋体" w:hAnsi="宋体" w:cs="宋体"/>
                <w:szCs w:val="21"/>
              </w:rPr>
            </w:pPr>
            <w:r>
              <w:rPr>
                <w:rFonts w:ascii="宋体" w:hAnsi="宋体" w:cs="宋体"/>
                <w:szCs w:val="21"/>
              </w:rPr>
              <w:t>...</w:t>
            </w:r>
          </w:p>
        </w:tc>
        <w:tc>
          <w:tcPr>
            <w:tcW w:w="4293" w:type="dxa"/>
            <w:noWrap w:val="0"/>
            <w:vAlign w:val="top"/>
          </w:tcPr>
          <w:p w14:paraId="15E35FF6">
            <w:pPr>
              <w:spacing w:line="360" w:lineRule="auto"/>
              <w:rPr>
                <w:rFonts w:ascii="宋体" w:hAnsi="宋体" w:cs="宋体"/>
                <w:szCs w:val="21"/>
              </w:rPr>
            </w:pPr>
            <w:r>
              <w:rPr>
                <w:rFonts w:ascii="宋体" w:hAnsi="宋体" w:cs="宋体"/>
                <w:szCs w:val="21"/>
              </w:rPr>
              <w:t>...</w:t>
            </w:r>
          </w:p>
        </w:tc>
        <w:tc>
          <w:tcPr>
            <w:tcW w:w="693" w:type="dxa"/>
            <w:noWrap w:val="0"/>
            <w:vAlign w:val="top"/>
          </w:tcPr>
          <w:p w14:paraId="714F2D36">
            <w:pPr>
              <w:spacing w:line="360" w:lineRule="auto"/>
              <w:rPr>
                <w:rFonts w:ascii="宋体" w:hAnsi="宋体" w:cs="宋体"/>
                <w:szCs w:val="21"/>
              </w:rPr>
            </w:pPr>
            <w:r>
              <w:rPr>
                <w:rFonts w:ascii="宋体" w:hAnsi="宋体" w:cs="宋体"/>
                <w:szCs w:val="21"/>
              </w:rPr>
              <w:t>...</w:t>
            </w:r>
          </w:p>
        </w:tc>
      </w:tr>
    </w:tbl>
    <w:p w14:paraId="7BBACCFA">
      <w:pPr>
        <w:widowControl/>
        <w:jc w:val="left"/>
      </w:pPr>
      <w:r>
        <w:rPr>
          <w:rFonts w:ascii="宋体" w:hAnsi="宋体" w:cs="宋体"/>
          <w:b/>
          <w:bCs/>
          <w:color w:val="000000"/>
          <w:kern w:val="0"/>
          <w:sz w:val="28"/>
          <w:szCs w:val="28"/>
          <w:lang w:bidi="ar"/>
        </w:rPr>
        <w:t xml:space="preserve">二、合同价款 </w:t>
      </w:r>
    </w:p>
    <w:p w14:paraId="4D502CDD">
      <w:pPr>
        <w:widowControl/>
        <w:spacing w:line="360" w:lineRule="auto"/>
        <w:ind w:firstLine="420" w:firstLineChars="200"/>
        <w:jc w:val="left"/>
        <w:outlineLvl w:val="1"/>
        <w:rPr>
          <w:rFonts w:ascii="宋体" w:hAnsi="宋体" w:cs="宋体"/>
          <w:color w:val="000000"/>
          <w:kern w:val="0"/>
          <w:szCs w:val="21"/>
          <w:lang w:bidi="ar"/>
        </w:rPr>
      </w:pPr>
      <w:bookmarkStart w:id="2" w:name="_Toc757685117"/>
      <w:r>
        <w:rPr>
          <w:rFonts w:ascii="宋体" w:hAnsi="宋体" w:cs="宋体"/>
          <w:color w:val="000000"/>
          <w:kern w:val="0"/>
          <w:szCs w:val="21"/>
          <w:lang w:bidi="ar"/>
        </w:rPr>
        <w:t>1、合同总价款为人民币（大写）：</w:t>
      </w:r>
      <w:bookmarkEnd w:id="2"/>
      <w:r>
        <w:rPr>
          <w:rFonts w:ascii="宋体" w:hAnsi="宋体" w:cs="宋体"/>
          <w:color w:val="000000"/>
          <w:kern w:val="0"/>
          <w:szCs w:val="21"/>
          <w:lang w:bidi="ar"/>
        </w:rPr>
        <w:t xml:space="preserve"> </w:t>
      </w:r>
    </w:p>
    <w:p w14:paraId="44335E72">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2、合同总价包括：第三方产品维保服务及业务系统维保和开发服务的全部费用； </w:t>
      </w:r>
    </w:p>
    <w:p w14:paraId="71BEF972">
      <w:pPr>
        <w:widowControl/>
        <w:spacing w:line="360" w:lineRule="auto"/>
        <w:ind w:firstLine="420" w:firstLineChars="200"/>
        <w:jc w:val="left"/>
        <w:outlineLvl w:val="1"/>
        <w:rPr>
          <w:rFonts w:ascii="宋体" w:hAnsi="宋体" w:cs="宋体"/>
          <w:color w:val="000000"/>
          <w:kern w:val="0"/>
          <w:szCs w:val="21"/>
          <w:lang w:bidi="ar"/>
        </w:rPr>
      </w:pPr>
      <w:bookmarkStart w:id="3" w:name="_Toc1983218356"/>
      <w:r>
        <w:rPr>
          <w:rFonts w:ascii="宋体" w:hAnsi="宋体" w:cs="宋体"/>
          <w:color w:val="000000"/>
          <w:kern w:val="0"/>
          <w:szCs w:val="21"/>
          <w:lang w:bidi="ar"/>
        </w:rPr>
        <w:t>3、合同总价一次性包死，不受市场价格变化因素的影响。</w:t>
      </w:r>
      <w:bookmarkEnd w:id="3"/>
      <w:r>
        <w:rPr>
          <w:rFonts w:ascii="宋体" w:hAnsi="宋体" w:cs="宋体"/>
          <w:color w:val="000000"/>
          <w:kern w:val="0"/>
          <w:szCs w:val="21"/>
          <w:lang w:bidi="ar"/>
        </w:rPr>
        <w:t xml:space="preserve"> </w:t>
      </w:r>
    </w:p>
    <w:p w14:paraId="7AFE25BC">
      <w:pPr>
        <w:widowControl/>
        <w:jc w:val="left"/>
      </w:pPr>
      <w:r>
        <w:rPr>
          <w:rFonts w:ascii="宋体" w:hAnsi="宋体" w:cs="宋体"/>
          <w:b/>
          <w:bCs/>
          <w:color w:val="000000"/>
          <w:kern w:val="0"/>
          <w:sz w:val="28"/>
          <w:szCs w:val="28"/>
          <w:lang w:bidi="ar"/>
        </w:rPr>
        <w:t>三、款项结算</w:t>
      </w:r>
    </w:p>
    <w:p w14:paraId="0C15DBAB">
      <w:pPr>
        <w:widowControl/>
        <w:spacing w:line="360" w:lineRule="auto"/>
        <w:ind w:firstLine="420" w:firstLineChars="200"/>
        <w:jc w:val="left"/>
        <w:outlineLvl w:val="1"/>
        <w:rPr>
          <w:rFonts w:hint="eastAsia" w:ascii="宋体" w:hAnsi="宋体" w:cs="宋体"/>
          <w:color w:val="000000"/>
          <w:kern w:val="0"/>
          <w:szCs w:val="21"/>
          <w:lang w:bidi="ar"/>
        </w:rPr>
      </w:pPr>
      <w:bookmarkStart w:id="4" w:name="_Toc857224205"/>
      <w:r>
        <w:rPr>
          <w:rFonts w:ascii="宋体" w:hAnsi="宋体" w:cs="宋体"/>
          <w:color w:val="000000"/>
          <w:kern w:val="0"/>
          <w:szCs w:val="21"/>
          <w:lang w:bidi="ar"/>
        </w:rPr>
        <w:t>1、</w:t>
      </w:r>
      <w:r>
        <w:rPr>
          <w:rFonts w:hint="eastAsia" w:ascii="宋体" w:hAnsi="宋体" w:cs="宋体"/>
          <w:color w:val="000000"/>
          <w:kern w:val="0"/>
          <w:szCs w:val="21"/>
          <w:lang w:bidi="ar"/>
        </w:rPr>
        <w:t>项目付款方式</w:t>
      </w:r>
      <w:bookmarkEnd w:id="4"/>
    </w:p>
    <w:p w14:paraId="400911CA">
      <w:pPr>
        <w:widowControl/>
        <w:spacing w:line="360" w:lineRule="auto"/>
        <w:ind w:firstLine="420" w:firstLineChars="200"/>
        <w:jc w:val="left"/>
        <w:rPr>
          <w:rFonts w:hint="eastAsia" w:ascii="宋体" w:hAnsi="宋体" w:cs="宋体"/>
          <w:color w:val="000000"/>
          <w:kern w:val="0"/>
          <w:szCs w:val="21"/>
          <w:lang w:bidi="ar"/>
        </w:rPr>
      </w:pPr>
      <w:r>
        <w:rPr>
          <w:rFonts w:ascii="宋体" w:hAnsi="宋体" w:cs="宋体"/>
          <w:color w:val="000000"/>
          <w:kern w:val="0"/>
          <w:szCs w:val="21"/>
          <w:lang w:bidi="ar"/>
        </w:rPr>
        <w:t>整个服务按甲方指定地点</w:t>
      </w:r>
      <w:r>
        <w:rPr>
          <w:rFonts w:hint="eastAsia" w:ascii="宋体" w:hAnsi="宋体" w:cs="宋体"/>
          <w:color w:val="000000"/>
          <w:kern w:val="0"/>
          <w:szCs w:val="21"/>
          <w:lang w:bidi="ar"/>
        </w:rPr>
        <w:t>，合同签订后一个月内支付合同总价款的40%；服务期满六个月后支付合同总价款的50%；服务期满并验收合格后，一个月内按照维保服务考核结果支付合同尾款。</w:t>
      </w:r>
    </w:p>
    <w:p w14:paraId="76AE710A">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2、支付方式：银行转账。甲方通过转账方式将应付乙方款项付至乙方指定下列账户： </w:t>
      </w:r>
    </w:p>
    <w:p w14:paraId="1CB40087">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户</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名： </w:t>
      </w:r>
    </w:p>
    <w:p w14:paraId="4A887DB7">
      <w:pPr>
        <w:widowControl/>
        <w:spacing w:line="360" w:lineRule="auto"/>
        <w:ind w:firstLine="420" w:firstLineChars="200"/>
        <w:jc w:val="left"/>
        <w:rPr>
          <w:rFonts w:hint="eastAsia" w:ascii="宋体" w:hAnsi="宋体" w:cs="宋体"/>
          <w:color w:val="000000"/>
          <w:kern w:val="0"/>
          <w:szCs w:val="21"/>
          <w:lang w:bidi="ar"/>
        </w:rPr>
      </w:pPr>
      <w:r>
        <w:rPr>
          <w:rFonts w:ascii="宋体" w:hAnsi="宋体" w:cs="宋体"/>
          <w:color w:val="000000"/>
          <w:kern w:val="0"/>
          <w:szCs w:val="21"/>
          <w:lang w:bidi="ar"/>
        </w:rPr>
        <w:t>开户行</w:t>
      </w:r>
      <w:r>
        <w:rPr>
          <w:rFonts w:hint="eastAsia" w:ascii="宋体" w:hAnsi="宋体" w:cs="宋体"/>
          <w:color w:val="000000"/>
          <w:kern w:val="0"/>
          <w:szCs w:val="21"/>
          <w:lang w:bidi="ar"/>
        </w:rPr>
        <w:t>：</w:t>
      </w:r>
    </w:p>
    <w:p w14:paraId="502CB6C2">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账</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号： </w:t>
      </w:r>
    </w:p>
    <w:p w14:paraId="60321974">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3、结算方式：验收合格后填写政府采购项目验收单（一式伍份）</w:t>
      </w:r>
      <w:r>
        <w:rPr>
          <w:rFonts w:hint="eastAsia" w:ascii="宋体" w:hAnsi="宋体" w:cs="宋体"/>
          <w:color w:val="000000"/>
          <w:kern w:val="0"/>
          <w:szCs w:val="21"/>
          <w:lang w:bidi="ar"/>
        </w:rPr>
        <w:t>，</w:t>
      </w:r>
      <w:r>
        <w:rPr>
          <w:rFonts w:ascii="宋体" w:hAnsi="宋体" w:cs="宋体"/>
          <w:color w:val="000000"/>
          <w:kern w:val="0"/>
          <w:szCs w:val="21"/>
          <w:lang w:bidi="ar"/>
        </w:rPr>
        <w:t>发票（按合同总价直开甲方），前两次付款乙方持</w:t>
      </w:r>
      <w:r>
        <w:rPr>
          <w:rFonts w:hint="eastAsia" w:ascii="宋体" w:hAnsi="宋体" w:cs="宋体"/>
          <w:color w:val="000000"/>
          <w:kern w:val="0"/>
          <w:szCs w:val="21"/>
          <w:lang w:bidi="ar"/>
        </w:rPr>
        <w:t>中标通知书</w:t>
      </w:r>
      <w:r>
        <w:rPr>
          <w:rFonts w:ascii="宋体" w:hAnsi="宋体" w:cs="宋体"/>
          <w:color w:val="000000"/>
          <w:kern w:val="0"/>
          <w:szCs w:val="21"/>
          <w:lang w:bidi="ar"/>
        </w:rPr>
        <w:t>、服务合同、发票，与甲方结算，第三次付款乙方持</w:t>
      </w:r>
      <w:r>
        <w:rPr>
          <w:rFonts w:hint="eastAsia" w:ascii="宋体" w:hAnsi="宋体" w:cs="宋体"/>
          <w:color w:val="000000"/>
          <w:kern w:val="0"/>
          <w:szCs w:val="21"/>
          <w:lang w:bidi="ar"/>
        </w:rPr>
        <w:t>中标通知书</w:t>
      </w:r>
      <w:r>
        <w:rPr>
          <w:rFonts w:ascii="宋体" w:hAnsi="宋体" w:cs="宋体"/>
          <w:color w:val="000000"/>
          <w:kern w:val="0"/>
          <w:szCs w:val="21"/>
          <w:lang w:bidi="ar"/>
        </w:rPr>
        <w:t xml:space="preserve">、服务合同、发票、政府采购项目验收单，与甲方结算。 </w:t>
      </w:r>
    </w:p>
    <w:p w14:paraId="61D0C30F">
      <w:pPr>
        <w:widowControl/>
        <w:jc w:val="left"/>
      </w:pPr>
      <w:r>
        <w:rPr>
          <w:rFonts w:ascii="宋体" w:hAnsi="宋体" w:cs="宋体"/>
          <w:b/>
          <w:bCs/>
          <w:color w:val="000000"/>
          <w:kern w:val="0"/>
          <w:sz w:val="28"/>
          <w:szCs w:val="28"/>
          <w:lang w:bidi="ar"/>
        </w:rPr>
        <w:t xml:space="preserve">四、双方的权利和义务 </w:t>
      </w:r>
    </w:p>
    <w:p w14:paraId="4A4C3304">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（一）甲方的权利和义务 </w:t>
      </w:r>
    </w:p>
    <w:p w14:paraId="1FCDA733">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1、甲方有权要求乙方依据合同提供软件维护和开发服务，按照承诺的期限完成系统功能上线或排除故障。 </w:t>
      </w:r>
    </w:p>
    <w:p w14:paraId="51F8729E">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2、甲方指派专人负责项目联络，提供乙方维保工程中必须的场地、环境及时间、协助乙方项目负责人，完成服务项目的实施。 </w:t>
      </w:r>
    </w:p>
    <w:p w14:paraId="5E902E8C">
      <w:pPr>
        <w:widowControl/>
        <w:spacing w:line="360" w:lineRule="auto"/>
        <w:ind w:firstLine="420" w:firstLineChars="200"/>
        <w:jc w:val="left"/>
        <w:outlineLvl w:val="1"/>
        <w:rPr>
          <w:rFonts w:ascii="宋体" w:hAnsi="宋体" w:cs="宋体"/>
          <w:color w:val="000000"/>
          <w:kern w:val="0"/>
          <w:szCs w:val="21"/>
          <w:lang w:bidi="ar"/>
        </w:rPr>
      </w:pPr>
      <w:bookmarkStart w:id="5" w:name="_Toc2046909359"/>
      <w:r>
        <w:rPr>
          <w:rFonts w:ascii="宋体" w:hAnsi="宋体" w:cs="宋体"/>
          <w:color w:val="000000"/>
          <w:kern w:val="0"/>
          <w:szCs w:val="21"/>
          <w:lang w:bidi="ar"/>
        </w:rPr>
        <w:t>3、如实向乙方反映系统的状态和故障情况，保护现场。</w:t>
      </w:r>
      <w:bookmarkEnd w:id="5"/>
      <w:r>
        <w:rPr>
          <w:rFonts w:ascii="宋体" w:hAnsi="宋体" w:cs="宋体"/>
          <w:color w:val="000000"/>
          <w:kern w:val="0"/>
          <w:szCs w:val="21"/>
          <w:lang w:bidi="ar"/>
        </w:rPr>
        <w:t xml:space="preserve"> </w:t>
      </w:r>
    </w:p>
    <w:p w14:paraId="01B985B6">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4、甲方未经乙方认可不得自行更改系统的设置和软件结构、程序过程。 </w:t>
      </w:r>
    </w:p>
    <w:p w14:paraId="7FF93E76">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5、如甲方变更应用环境或在系统内增加其他软件，应及时通知乙方。 </w:t>
      </w:r>
    </w:p>
    <w:p w14:paraId="440C61D4">
      <w:pPr>
        <w:widowControl/>
        <w:spacing w:line="360" w:lineRule="auto"/>
        <w:ind w:firstLine="420" w:firstLineChars="200"/>
        <w:jc w:val="left"/>
        <w:outlineLvl w:val="1"/>
        <w:rPr>
          <w:rFonts w:ascii="宋体" w:hAnsi="宋体" w:cs="宋体"/>
          <w:color w:val="000000"/>
          <w:kern w:val="0"/>
          <w:szCs w:val="21"/>
          <w:lang w:bidi="ar"/>
        </w:rPr>
      </w:pPr>
      <w:bookmarkStart w:id="6" w:name="_Toc1865055420"/>
      <w:r>
        <w:rPr>
          <w:rFonts w:ascii="宋体" w:hAnsi="宋体" w:cs="宋体"/>
          <w:color w:val="000000"/>
          <w:kern w:val="0"/>
          <w:szCs w:val="21"/>
          <w:lang w:bidi="ar"/>
        </w:rPr>
        <w:t>6、甲方有义务按时支付合同约定的项目费用。</w:t>
      </w:r>
      <w:bookmarkEnd w:id="6"/>
      <w:r>
        <w:rPr>
          <w:rFonts w:ascii="宋体" w:hAnsi="宋体" w:cs="宋体"/>
          <w:color w:val="000000"/>
          <w:kern w:val="0"/>
          <w:szCs w:val="21"/>
          <w:lang w:bidi="ar"/>
        </w:rPr>
        <w:t xml:space="preserve"> </w:t>
      </w:r>
    </w:p>
    <w:p w14:paraId="06D89DE4">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（二）乙方的权利和义务 </w:t>
      </w:r>
    </w:p>
    <w:p w14:paraId="454570F8">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1、乙方应成立专门的技术服务队伍，由专人负责对各软件提供专门的技术服务。 </w:t>
      </w:r>
    </w:p>
    <w:p w14:paraId="3A9DDCFE">
      <w:pPr>
        <w:widowControl/>
        <w:spacing w:line="360" w:lineRule="auto"/>
        <w:ind w:firstLine="420" w:firstLineChars="200"/>
        <w:jc w:val="left"/>
        <w:outlineLvl w:val="1"/>
        <w:rPr>
          <w:rFonts w:ascii="宋体" w:hAnsi="宋体" w:cs="宋体"/>
          <w:color w:val="000000"/>
          <w:kern w:val="0"/>
          <w:szCs w:val="21"/>
          <w:lang w:bidi="ar"/>
        </w:rPr>
      </w:pPr>
      <w:bookmarkStart w:id="7" w:name="_Toc1315132328"/>
      <w:r>
        <w:rPr>
          <w:rFonts w:ascii="宋体" w:hAnsi="宋体" w:cs="宋体"/>
          <w:color w:val="000000"/>
          <w:kern w:val="0"/>
          <w:szCs w:val="21"/>
          <w:lang w:bidi="ar"/>
        </w:rPr>
        <w:t>2、乙方有义务按照合同约定，协调软件原厂方向甲方提供服务。</w:t>
      </w:r>
      <w:bookmarkEnd w:id="7"/>
      <w:r>
        <w:rPr>
          <w:rFonts w:ascii="宋体" w:hAnsi="宋体" w:cs="宋体"/>
          <w:color w:val="000000"/>
          <w:kern w:val="0"/>
          <w:szCs w:val="21"/>
          <w:lang w:bidi="ar"/>
        </w:rPr>
        <w:t xml:space="preserve"> </w:t>
      </w:r>
    </w:p>
    <w:p w14:paraId="54796909">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3、乙方有义务要求软件原厂方对甲方产品清单软件升级和打补丁，对甲方硬件升级扩展和网络调整提供建议和技术支持，对硬件、软件升级等与本项目有关联的提供协助。 </w:t>
      </w:r>
    </w:p>
    <w:p w14:paraId="7FEB0D7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4、乙方应对甲方业务扩展增加的业务软件提供住房公积金应用软件的数据交换接口。 </w:t>
      </w:r>
    </w:p>
    <w:p w14:paraId="188279B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5、乙方有权要求甲方提供必要的工作环境，安排项目联络人，协调甲方相关部门以提供必要的配合和支持。 </w:t>
      </w:r>
    </w:p>
    <w:p w14:paraId="083BCA38">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6、对于复杂故障，乙方有义务协调各软件厂商联合会商，提出故障排除方案，保证系统正常运行。 </w:t>
      </w:r>
    </w:p>
    <w:p w14:paraId="4459E514">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7、乙方在运维过程中应保证甲方的数据安全。</w:t>
      </w:r>
    </w:p>
    <w:p w14:paraId="2F15EFFA">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8、乙方负责主持软件故障恢复验收和恢复分析工作。 </w:t>
      </w:r>
    </w:p>
    <w:p w14:paraId="61AD696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9、乙方向甲方提供技术咨询和资料。 </w:t>
      </w:r>
    </w:p>
    <w:p w14:paraId="15E916EE">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10、乙方每月向甲方提供系统运行状况分析。 </w:t>
      </w:r>
    </w:p>
    <w:p w14:paraId="3CF8979B">
      <w:pPr>
        <w:widowControl/>
        <w:jc w:val="left"/>
      </w:pPr>
      <w:r>
        <w:rPr>
          <w:rFonts w:ascii="宋体" w:hAnsi="宋体" w:cs="宋体"/>
          <w:b/>
          <w:bCs/>
          <w:color w:val="000000"/>
          <w:kern w:val="0"/>
          <w:sz w:val="28"/>
          <w:szCs w:val="28"/>
          <w:lang w:bidi="ar"/>
        </w:rPr>
        <w:t xml:space="preserve">五、服务条件 </w:t>
      </w:r>
    </w:p>
    <w:p w14:paraId="6AF68C2F">
      <w:pPr>
        <w:widowControl/>
        <w:spacing w:line="360" w:lineRule="auto"/>
        <w:ind w:firstLine="420" w:firstLineChars="200"/>
        <w:jc w:val="left"/>
        <w:outlineLvl w:val="1"/>
        <w:rPr>
          <w:rFonts w:ascii="宋体" w:hAnsi="宋体" w:cs="宋体"/>
          <w:color w:val="000000"/>
          <w:kern w:val="0"/>
          <w:szCs w:val="21"/>
          <w:lang w:bidi="ar"/>
        </w:rPr>
      </w:pPr>
      <w:bookmarkStart w:id="8" w:name="_Toc1527341772"/>
      <w:r>
        <w:rPr>
          <w:rFonts w:ascii="宋体" w:hAnsi="宋体" w:cs="宋体"/>
          <w:color w:val="000000"/>
          <w:kern w:val="0"/>
          <w:szCs w:val="21"/>
          <w:lang w:bidi="ar"/>
        </w:rPr>
        <w:t>1、服务地点：西安住房公积金管理中心</w:t>
      </w:r>
      <w:r>
        <w:rPr>
          <w:rFonts w:hint="eastAsia" w:ascii="宋体" w:hAnsi="宋体" w:cs="宋体"/>
          <w:color w:val="000000"/>
          <w:kern w:val="0"/>
          <w:szCs w:val="21"/>
          <w:lang w:bidi="ar"/>
        </w:rPr>
        <w:t>指定地点</w:t>
      </w:r>
      <w:r>
        <w:rPr>
          <w:rFonts w:ascii="宋体" w:hAnsi="宋体" w:cs="宋体"/>
          <w:color w:val="000000"/>
          <w:kern w:val="0"/>
          <w:szCs w:val="21"/>
          <w:lang w:bidi="ar"/>
        </w:rPr>
        <w:t>；</w:t>
      </w:r>
      <w:bookmarkEnd w:id="8"/>
      <w:r>
        <w:rPr>
          <w:rFonts w:ascii="宋体" w:hAnsi="宋体" w:cs="宋体"/>
          <w:color w:val="000000"/>
          <w:kern w:val="0"/>
          <w:szCs w:val="21"/>
          <w:lang w:bidi="ar"/>
        </w:rPr>
        <w:t xml:space="preserve"> </w:t>
      </w:r>
    </w:p>
    <w:p w14:paraId="6007C30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2、服务期</w:t>
      </w:r>
      <w:r>
        <w:rPr>
          <w:rFonts w:hint="eastAsia" w:ascii="宋体" w:hAnsi="宋体" w:cs="宋体"/>
          <w:color w:val="000000"/>
          <w:kern w:val="0"/>
          <w:szCs w:val="21"/>
          <w:lang w:bidi="ar"/>
        </w:rPr>
        <w:t>限</w:t>
      </w:r>
      <w:r>
        <w:rPr>
          <w:rFonts w:ascii="宋体" w:hAnsi="宋体" w:cs="宋体"/>
          <w:color w:val="000000"/>
          <w:kern w:val="0"/>
          <w:szCs w:val="21"/>
          <w:lang w:bidi="ar"/>
        </w:rPr>
        <w:t>：202</w:t>
      </w:r>
      <w:r>
        <w:rPr>
          <w:rFonts w:hint="eastAsia" w:ascii="宋体" w:hAnsi="宋体" w:cs="宋体"/>
          <w:color w:val="000000"/>
          <w:kern w:val="0"/>
          <w:szCs w:val="21"/>
          <w:lang w:val="en-US" w:eastAsia="zh-CN" w:bidi="ar"/>
        </w:rPr>
        <w:t>5</w:t>
      </w:r>
      <w:r>
        <w:rPr>
          <w:rFonts w:ascii="宋体" w:hAnsi="宋体" w:cs="宋体"/>
          <w:color w:val="000000"/>
          <w:kern w:val="0"/>
          <w:szCs w:val="21"/>
          <w:lang w:bidi="ar"/>
        </w:rPr>
        <w:t>年</w:t>
      </w:r>
      <w:r>
        <w:rPr>
          <w:rFonts w:hint="eastAsia" w:ascii="宋体" w:hAnsi="宋体" w:cs="宋体"/>
          <w:color w:val="000000"/>
          <w:kern w:val="0"/>
          <w:szCs w:val="21"/>
          <w:lang w:bidi="ar"/>
        </w:rPr>
        <w:t>9</w:t>
      </w:r>
      <w:r>
        <w:rPr>
          <w:rFonts w:ascii="宋体" w:hAnsi="宋体" w:cs="宋体"/>
          <w:color w:val="000000"/>
          <w:kern w:val="0"/>
          <w:szCs w:val="21"/>
          <w:lang w:bidi="ar"/>
        </w:rPr>
        <w:t>月</w:t>
      </w:r>
      <w:r>
        <w:rPr>
          <w:rFonts w:hint="eastAsia" w:ascii="宋体" w:hAnsi="宋体" w:cs="宋体"/>
          <w:color w:val="000000"/>
          <w:kern w:val="0"/>
          <w:szCs w:val="21"/>
          <w:lang w:val="en-US" w:eastAsia="zh-CN" w:bidi="ar"/>
        </w:rPr>
        <w:t xml:space="preserve">  </w:t>
      </w:r>
      <w:r>
        <w:rPr>
          <w:rFonts w:ascii="宋体" w:hAnsi="宋体" w:cs="宋体"/>
          <w:color w:val="000000"/>
          <w:kern w:val="0"/>
          <w:szCs w:val="21"/>
          <w:lang w:bidi="ar"/>
        </w:rPr>
        <w:t>日至 202</w:t>
      </w:r>
      <w:r>
        <w:rPr>
          <w:rFonts w:hint="eastAsia" w:ascii="宋体" w:hAnsi="宋体" w:cs="宋体"/>
          <w:color w:val="000000"/>
          <w:kern w:val="0"/>
          <w:szCs w:val="21"/>
          <w:lang w:val="en-US" w:eastAsia="zh-CN" w:bidi="ar"/>
        </w:rPr>
        <w:t>6</w:t>
      </w:r>
      <w:r>
        <w:rPr>
          <w:rFonts w:ascii="宋体" w:hAnsi="宋体" w:cs="宋体"/>
          <w:color w:val="000000"/>
          <w:kern w:val="0"/>
          <w:szCs w:val="21"/>
          <w:lang w:bidi="ar"/>
        </w:rPr>
        <w:t>年</w:t>
      </w:r>
      <w:r>
        <w:rPr>
          <w:rFonts w:hint="eastAsia" w:ascii="宋体" w:hAnsi="宋体" w:cs="宋体"/>
          <w:color w:val="000000"/>
          <w:kern w:val="0"/>
          <w:szCs w:val="21"/>
          <w:lang w:bidi="ar"/>
        </w:rPr>
        <w:t>9</w:t>
      </w:r>
      <w:r>
        <w:rPr>
          <w:rFonts w:ascii="宋体" w:hAnsi="宋体" w:cs="宋体"/>
          <w:color w:val="000000"/>
          <w:kern w:val="0"/>
          <w:szCs w:val="21"/>
          <w:lang w:bidi="ar"/>
        </w:rPr>
        <w:t>月</w:t>
      </w:r>
      <w:r>
        <w:rPr>
          <w:rFonts w:hint="eastAsia" w:ascii="宋体" w:hAnsi="宋体" w:cs="宋体"/>
          <w:color w:val="000000"/>
          <w:kern w:val="0"/>
          <w:szCs w:val="21"/>
          <w:lang w:val="en-US" w:eastAsia="zh-CN" w:bidi="ar"/>
        </w:rPr>
        <w:t xml:space="preserve">  </w:t>
      </w:r>
      <w:r>
        <w:rPr>
          <w:rFonts w:ascii="宋体" w:hAnsi="宋体" w:cs="宋体"/>
          <w:color w:val="000000"/>
          <w:kern w:val="0"/>
          <w:szCs w:val="21"/>
          <w:lang w:bidi="ar"/>
        </w:rPr>
        <w:t xml:space="preserve">日。 </w:t>
      </w:r>
    </w:p>
    <w:p w14:paraId="62EBE583">
      <w:pPr>
        <w:widowControl/>
        <w:jc w:val="left"/>
      </w:pPr>
      <w:r>
        <w:rPr>
          <w:rFonts w:ascii="宋体" w:hAnsi="宋体" w:cs="宋体"/>
          <w:b/>
          <w:bCs/>
          <w:color w:val="000000"/>
          <w:kern w:val="0"/>
          <w:sz w:val="28"/>
          <w:szCs w:val="28"/>
          <w:lang w:bidi="ar"/>
        </w:rPr>
        <w:t xml:space="preserve">六、服务内容 </w:t>
      </w:r>
    </w:p>
    <w:p w14:paraId="501EA115">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（一）第三方服务清单</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1559"/>
        <w:gridCol w:w="4288"/>
        <w:gridCol w:w="1382"/>
      </w:tblGrid>
      <w:tr w14:paraId="512B2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trPr>
        <w:tc>
          <w:tcPr>
            <w:tcW w:w="1384" w:type="dxa"/>
            <w:noWrap w:val="0"/>
            <w:vAlign w:val="center"/>
          </w:tcPr>
          <w:p w14:paraId="1C043E1F">
            <w:pPr>
              <w:tabs>
                <w:tab w:val="left" w:pos="1575"/>
              </w:tabs>
              <w:spacing w:line="400" w:lineRule="exact"/>
              <w:jc w:val="center"/>
              <w:rPr>
                <w:rFonts w:hint="eastAsia" w:ascii="宋体" w:hAnsi="宋体" w:eastAsia="宋体" w:cs="宋体"/>
                <w:b/>
                <w:bCs/>
                <w:sz w:val="20"/>
                <w:szCs w:val="20"/>
              </w:rPr>
            </w:pPr>
            <w:r>
              <w:rPr>
                <w:rFonts w:hint="eastAsia" w:ascii="宋体" w:hAnsi="宋体" w:eastAsia="宋体" w:cs="宋体"/>
                <w:b/>
                <w:bCs/>
                <w:sz w:val="20"/>
                <w:szCs w:val="20"/>
              </w:rPr>
              <w:t>软件名称</w:t>
            </w:r>
          </w:p>
        </w:tc>
        <w:tc>
          <w:tcPr>
            <w:tcW w:w="1559" w:type="dxa"/>
            <w:noWrap w:val="0"/>
            <w:vAlign w:val="center"/>
          </w:tcPr>
          <w:p w14:paraId="521FF403">
            <w:pPr>
              <w:tabs>
                <w:tab w:val="left" w:pos="1575"/>
              </w:tabs>
              <w:spacing w:line="400" w:lineRule="exact"/>
              <w:jc w:val="center"/>
              <w:rPr>
                <w:rFonts w:hint="eastAsia" w:ascii="宋体" w:hAnsi="宋体" w:eastAsia="宋体" w:cs="宋体"/>
                <w:b/>
                <w:bCs/>
                <w:sz w:val="20"/>
                <w:szCs w:val="20"/>
              </w:rPr>
            </w:pPr>
            <w:r>
              <w:rPr>
                <w:rFonts w:hint="eastAsia" w:ascii="宋体" w:hAnsi="宋体" w:eastAsia="宋体" w:cs="宋体"/>
                <w:b/>
                <w:bCs/>
                <w:sz w:val="20"/>
                <w:szCs w:val="20"/>
              </w:rPr>
              <w:t>研发单位</w:t>
            </w:r>
          </w:p>
        </w:tc>
        <w:tc>
          <w:tcPr>
            <w:tcW w:w="4288" w:type="dxa"/>
            <w:noWrap w:val="0"/>
            <w:vAlign w:val="center"/>
          </w:tcPr>
          <w:p w14:paraId="55E8628F">
            <w:pPr>
              <w:tabs>
                <w:tab w:val="left" w:pos="1575"/>
              </w:tabs>
              <w:spacing w:line="400" w:lineRule="exact"/>
              <w:jc w:val="center"/>
              <w:rPr>
                <w:rFonts w:hint="eastAsia" w:ascii="宋体" w:hAnsi="宋体" w:eastAsia="宋体" w:cs="宋体"/>
                <w:b/>
                <w:bCs/>
                <w:sz w:val="20"/>
                <w:szCs w:val="20"/>
              </w:rPr>
            </w:pPr>
            <w:r>
              <w:rPr>
                <w:rFonts w:hint="eastAsia" w:ascii="宋体" w:hAnsi="宋体" w:eastAsia="宋体" w:cs="宋体"/>
                <w:b/>
                <w:bCs/>
                <w:sz w:val="20"/>
                <w:szCs w:val="20"/>
              </w:rPr>
              <w:t>型  号</w:t>
            </w:r>
          </w:p>
        </w:tc>
        <w:tc>
          <w:tcPr>
            <w:tcW w:w="1382" w:type="dxa"/>
            <w:noWrap w:val="0"/>
            <w:vAlign w:val="center"/>
          </w:tcPr>
          <w:p w14:paraId="452A3CC9">
            <w:pPr>
              <w:tabs>
                <w:tab w:val="left" w:pos="1575"/>
              </w:tabs>
              <w:spacing w:line="400" w:lineRule="exact"/>
              <w:jc w:val="center"/>
              <w:rPr>
                <w:rFonts w:hint="eastAsia" w:ascii="宋体" w:hAnsi="宋体" w:eastAsia="宋体" w:cs="宋体"/>
                <w:b/>
                <w:bCs/>
                <w:sz w:val="20"/>
                <w:szCs w:val="20"/>
              </w:rPr>
            </w:pPr>
            <w:r>
              <w:rPr>
                <w:rFonts w:hint="eastAsia" w:ascii="宋体" w:hAnsi="宋体" w:eastAsia="宋体" w:cs="宋体"/>
                <w:b/>
                <w:bCs/>
                <w:sz w:val="20"/>
                <w:szCs w:val="20"/>
              </w:rPr>
              <w:t>数量</w:t>
            </w:r>
          </w:p>
        </w:tc>
      </w:tr>
      <w:tr w14:paraId="4CD91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trPr>
        <w:tc>
          <w:tcPr>
            <w:tcW w:w="1384" w:type="dxa"/>
            <w:vMerge w:val="restart"/>
            <w:noWrap w:val="0"/>
            <w:vAlign w:val="center"/>
          </w:tcPr>
          <w:p w14:paraId="5415F5F9">
            <w:pPr>
              <w:tabs>
                <w:tab w:val="left" w:pos="1575"/>
              </w:tabs>
              <w:spacing w:line="400" w:lineRule="exact"/>
              <w:jc w:val="center"/>
              <w:rPr>
                <w:rFonts w:hint="eastAsia" w:ascii="宋体" w:hAnsi="宋体" w:eastAsia="宋体" w:cs="宋体"/>
                <w:bCs/>
                <w:sz w:val="20"/>
                <w:szCs w:val="20"/>
              </w:rPr>
            </w:pPr>
            <w:r>
              <w:rPr>
                <w:rFonts w:hint="eastAsia" w:ascii="宋体" w:hAnsi="宋体" w:eastAsia="宋体" w:cs="宋体"/>
                <w:bCs/>
                <w:sz w:val="20"/>
                <w:szCs w:val="20"/>
              </w:rPr>
              <w:t>数据库</w:t>
            </w:r>
          </w:p>
          <w:p w14:paraId="1CD11CEF">
            <w:pPr>
              <w:tabs>
                <w:tab w:val="left" w:pos="1575"/>
              </w:tabs>
              <w:spacing w:line="400" w:lineRule="exact"/>
              <w:jc w:val="center"/>
              <w:rPr>
                <w:rFonts w:hint="eastAsia" w:ascii="宋体" w:hAnsi="宋体" w:eastAsia="宋体" w:cs="宋体"/>
                <w:bCs/>
                <w:sz w:val="20"/>
                <w:szCs w:val="20"/>
              </w:rPr>
            </w:pPr>
            <w:r>
              <w:rPr>
                <w:rFonts w:hint="eastAsia" w:ascii="宋体" w:hAnsi="宋体" w:eastAsia="宋体" w:cs="宋体"/>
                <w:bCs/>
                <w:sz w:val="20"/>
                <w:szCs w:val="20"/>
              </w:rPr>
              <w:t>软件</w:t>
            </w:r>
          </w:p>
        </w:tc>
        <w:tc>
          <w:tcPr>
            <w:tcW w:w="1559" w:type="dxa"/>
            <w:vMerge w:val="restart"/>
            <w:noWrap w:val="0"/>
            <w:vAlign w:val="center"/>
          </w:tcPr>
          <w:p w14:paraId="3D7CD68C">
            <w:pPr>
              <w:tabs>
                <w:tab w:val="left" w:pos="1575"/>
              </w:tabs>
              <w:spacing w:line="400" w:lineRule="exact"/>
              <w:jc w:val="center"/>
              <w:rPr>
                <w:rFonts w:hint="eastAsia" w:ascii="宋体" w:hAnsi="宋体" w:eastAsia="宋体" w:cs="宋体"/>
                <w:bCs/>
                <w:sz w:val="20"/>
                <w:szCs w:val="20"/>
              </w:rPr>
            </w:pPr>
            <w:r>
              <w:rPr>
                <w:rFonts w:hint="eastAsia" w:ascii="宋体" w:hAnsi="宋体" w:eastAsia="宋体" w:cs="宋体"/>
                <w:bCs/>
                <w:sz w:val="20"/>
                <w:szCs w:val="20"/>
              </w:rPr>
              <w:t>Oracle</w:t>
            </w:r>
          </w:p>
        </w:tc>
        <w:tc>
          <w:tcPr>
            <w:tcW w:w="4288" w:type="dxa"/>
            <w:noWrap w:val="0"/>
            <w:vAlign w:val="top"/>
          </w:tcPr>
          <w:p w14:paraId="5A070042">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Oracle Database Enterprise Edition - Processor Perpetual, FULL USE</w:t>
            </w:r>
          </w:p>
        </w:tc>
        <w:tc>
          <w:tcPr>
            <w:tcW w:w="1382" w:type="dxa"/>
            <w:noWrap w:val="0"/>
            <w:vAlign w:val="center"/>
          </w:tcPr>
          <w:p w14:paraId="051CF118">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4 license</w:t>
            </w:r>
          </w:p>
        </w:tc>
      </w:tr>
      <w:tr w14:paraId="7709E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trPr>
        <w:tc>
          <w:tcPr>
            <w:tcW w:w="1384" w:type="dxa"/>
            <w:vMerge w:val="continue"/>
            <w:noWrap w:val="0"/>
            <w:vAlign w:val="center"/>
          </w:tcPr>
          <w:p w14:paraId="458817A0">
            <w:pPr>
              <w:tabs>
                <w:tab w:val="left" w:pos="1575"/>
              </w:tabs>
              <w:spacing w:line="400" w:lineRule="exact"/>
              <w:jc w:val="center"/>
              <w:rPr>
                <w:rFonts w:hint="eastAsia" w:ascii="宋体" w:hAnsi="宋体" w:eastAsia="宋体" w:cs="宋体"/>
                <w:bCs/>
                <w:sz w:val="20"/>
                <w:szCs w:val="20"/>
              </w:rPr>
            </w:pPr>
          </w:p>
        </w:tc>
        <w:tc>
          <w:tcPr>
            <w:tcW w:w="1559" w:type="dxa"/>
            <w:vMerge w:val="continue"/>
            <w:noWrap w:val="0"/>
            <w:vAlign w:val="center"/>
          </w:tcPr>
          <w:p w14:paraId="4249D47B">
            <w:pPr>
              <w:tabs>
                <w:tab w:val="left" w:pos="1575"/>
              </w:tabs>
              <w:spacing w:line="400" w:lineRule="exact"/>
              <w:jc w:val="center"/>
              <w:rPr>
                <w:rFonts w:hint="eastAsia" w:ascii="宋体" w:hAnsi="宋体" w:eastAsia="宋体" w:cs="宋体"/>
                <w:bCs/>
                <w:sz w:val="20"/>
                <w:szCs w:val="20"/>
              </w:rPr>
            </w:pPr>
          </w:p>
        </w:tc>
        <w:tc>
          <w:tcPr>
            <w:tcW w:w="4288" w:type="dxa"/>
            <w:noWrap w:val="0"/>
            <w:vAlign w:val="top"/>
          </w:tcPr>
          <w:p w14:paraId="33713461">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Real Application Clusters - Processor Perpetual, FULL USE</w:t>
            </w:r>
          </w:p>
        </w:tc>
        <w:tc>
          <w:tcPr>
            <w:tcW w:w="1382" w:type="dxa"/>
            <w:noWrap w:val="0"/>
            <w:vAlign w:val="center"/>
          </w:tcPr>
          <w:p w14:paraId="2307DF20">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4 license</w:t>
            </w:r>
          </w:p>
        </w:tc>
      </w:tr>
      <w:tr w14:paraId="0104D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noWrap w:val="0"/>
            <w:vAlign w:val="center"/>
          </w:tcPr>
          <w:p w14:paraId="6A70E627">
            <w:pPr>
              <w:tabs>
                <w:tab w:val="left" w:pos="1575"/>
              </w:tabs>
              <w:spacing w:line="400" w:lineRule="exact"/>
              <w:jc w:val="center"/>
              <w:rPr>
                <w:rFonts w:hint="eastAsia" w:ascii="宋体" w:hAnsi="宋体" w:eastAsia="宋体" w:cs="宋体"/>
                <w:bCs/>
                <w:sz w:val="20"/>
                <w:szCs w:val="20"/>
              </w:rPr>
            </w:pPr>
            <w:r>
              <w:rPr>
                <w:rFonts w:hint="eastAsia" w:ascii="宋体" w:hAnsi="宋体" w:eastAsia="宋体" w:cs="宋体"/>
                <w:bCs/>
                <w:sz w:val="20"/>
                <w:szCs w:val="20"/>
              </w:rPr>
              <w:t>办公软件</w:t>
            </w:r>
          </w:p>
        </w:tc>
        <w:tc>
          <w:tcPr>
            <w:tcW w:w="1559" w:type="dxa"/>
            <w:noWrap w:val="0"/>
            <w:vAlign w:val="center"/>
          </w:tcPr>
          <w:p w14:paraId="5A363068">
            <w:pPr>
              <w:tabs>
                <w:tab w:val="left" w:pos="1575"/>
              </w:tabs>
              <w:spacing w:line="400" w:lineRule="exact"/>
              <w:jc w:val="center"/>
              <w:rPr>
                <w:rFonts w:hint="eastAsia" w:ascii="宋体" w:hAnsi="宋体" w:eastAsia="宋体" w:cs="宋体"/>
                <w:bCs/>
                <w:sz w:val="20"/>
                <w:szCs w:val="20"/>
              </w:rPr>
            </w:pPr>
            <w:r>
              <w:rPr>
                <w:rFonts w:hint="eastAsia" w:ascii="宋体" w:hAnsi="宋体" w:eastAsia="宋体" w:cs="宋体"/>
                <w:bCs/>
                <w:sz w:val="20"/>
                <w:szCs w:val="20"/>
              </w:rPr>
              <w:t>市政府电子网络中心</w:t>
            </w:r>
          </w:p>
        </w:tc>
        <w:tc>
          <w:tcPr>
            <w:tcW w:w="4288" w:type="dxa"/>
            <w:noWrap w:val="0"/>
            <w:vAlign w:val="center"/>
          </w:tcPr>
          <w:p w14:paraId="239D19F7">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电子政务办公软件</w:t>
            </w:r>
          </w:p>
        </w:tc>
        <w:tc>
          <w:tcPr>
            <w:tcW w:w="1382" w:type="dxa"/>
            <w:noWrap w:val="0"/>
            <w:vAlign w:val="center"/>
          </w:tcPr>
          <w:p w14:paraId="2CC5090F">
            <w:pPr>
              <w:tabs>
                <w:tab w:val="left" w:pos="1575"/>
              </w:tabs>
              <w:spacing w:line="400" w:lineRule="exact"/>
              <w:rPr>
                <w:rFonts w:hint="eastAsia" w:ascii="宋体" w:hAnsi="宋体" w:eastAsia="宋体" w:cs="宋体"/>
                <w:bCs/>
                <w:sz w:val="20"/>
                <w:szCs w:val="20"/>
              </w:rPr>
            </w:pPr>
            <w:r>
              <w:rPr>
                <w:rFonts w:hint="eastAsia" w:ascii="宋体" w:hAnsi="宋体" w:eastAsia="宋体" w:cs="宋体"/>
                <w:bCs/>
                <w:sz w:val="20"/>
                <w:szCs w:val="20"/>
              </w:rPr>
              <w:t>1套</w:t>
            </w:r>
          </w:p>
        </w:tc>
      </w:tr>
    </w:tbl>
    <w:p w14:paraId="2F6DE8CD">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（二）业务系统维保和开发服务明细</w:t>
      </w:r>
    </w:p>
    <w:p w14:paraId="668BEB7F">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包括以下功能模块的维保服务、后续功能增加与三大类运维服务。</w:t>
      </w:r>
    </w:p>
    <w:p w14:paraId="235272F8">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软件系统：归集管理系统、提取管理系统、个人贷款管理系统、会计核算管理系统、资金管理系统、其他住房资金、住房补贴、综合服务管理平台、手机公积金APP、缴存单位网上业务大厅、开发商网上业务大厅、短信平台系统、流程服务、稽核审计、绩效考核、党建、省监管服务平台、住建部（税务）数据上报系统、征信上报与查询系统、支付宝城市服务接口、微信接口、房改办住房补贴接口、一网通办数据共享系统、一网通办APP接口与一网通办大数据局接口服务等(目前在用系统详细功能见《住房公积金业务系统开发运维服务附表》)。</w:t>
      </w:r>
    </w:p>
    <w:p w14:paraId="3C417AF2">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运维服务：基础软件维护服务、应用软件服务、数据管理运维服务、业务系统安全提升服务（如依照等保三级要求进行业务系统安全加固，使用https访问等）。</w:t>
      </w:r>
    </w:p>
    <w:p w14:paraId="380F6A87">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服务期内服务范围包括：</w:t>
      </w:r>
    </w:p>
    <w:p w14:paraId="17D6A120">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1、服务范围包括：现有功能需求、设计、开发、测试、BUG修复、驻场运维服务、巡检、特殊事项及重大事项的专家现场服务指导。</w:t>
      </w:r>
    </w:p>
    <w:p w14:paraId="69DF3DD9">
      <w:pPr>
        <w:ind w:firstLine="400" w:firstLineChars="200"/>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2、国家、省、市各级政府出台新政策以及采购方现有系统不能满足服务需求，需要对现有信息系统进行整体升级或系统优化均属于服务内容。</w:t>
      </w:r>
    </w:p>
    <w:p w14:paraId="6FEBF052">
      <w:pPr>
        <w:spacing w:line="360" w:lineRule="auto"/>
        <w:jc w:val="center"/>
        <w:rPr>
          <w:rFonts w:hint="eastAsia" w:ascii="宋体" w:hAnsi="宋体" w:cs="宋体"/>
          <w:szCs w:val="21"/>
        </w:rPr>
      </w:pPr>
      <w:r>
        <w:rPr>
          <w:rFonts w:hint="eastAsia" w:ascii="宋体" w:hAnsi="宋体" w:cs="宋体"/>
          <w:szCs w:val="21"/>
        </w:rPr>
        <w:t>住房公积金业务系统开发运维服务附表</w:t>
      </w:r>
    </w:p>
    <w:tbl>
      <w:tblPr>
        <w:tblStyle w:val="4"/>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268"/>
        <w:gridCol w:w="5812"/>
      </w:tblGrid>
      <w:tr w14:paraId="30BF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5551526D">
            <w:pPr>
              <w:jc w:val="center"/>
              <w:rPr>
                <w:rFonts w:hint="eastAsia" w:ascii="宋体" w:hAnsi="宋体" w:eastAsia="宋体" w:cs="宋体"/>
                <w:b/>
                <w:bCs/>
                <w:sz w:val="20"/>
                <w:szCs w:val="20"/>
              </w:rPr>
            </w:pPr>
            <w:r>
              <w:rPr>
                <w:rFonts w:hint="eastAsia" w:ascii="宋体" w:hAnsi="宋体" w:eastAsia="宋体" w:cs="宋体"/>
                <w:b/>
                <w:bCs/>
                <w:sz w:val="20"/>
                <w:szCs w:val="20"/>
              </w:rPr>
              <w:t>序号</w:t>
            </w:r>
          </w:p>
        </w:tc>
        <w:tc>
          <w:tcPr>
            <w:tcW w:w="2268" w:type="dxa"/>
            <w:noWrap w:val="0"/>
            <w:vAlign w:val="center"/>
          </w:tcPr>
          <w:p w14:paraId="11A4E73C">
            <w:pPr>
              <w:jc w:val="center"/>
              <w:rPr>
                <w:rFonts w:hint="eastAsia" w:ascii="宋体" w:hAnsi="宋体" w:eastAsia="宋体" w:cs="宋体"/>
                <w:b/>
                <w:bCs/>
                <w:sz w:val="20"/>
                <w:szCs w:val="20"/>
              </w:rPr>
            </w:pPr>
            <w:r>
              <w:rPr>
                <w:rFonts w:hint="eastAsia" w:ascii="宋体" w:hAnsi="宋体" w:eastAsia="宋体" w:cs="宋体"/>
                <w:b/>
                <w:bCs/>
                <w:sz w:val="20"/>
                <w:szCs w:val="20"/>
              </w:rPr>
              <w:t>服务内容</w:t>
            </w:r>
          </w:p>
        </w:tc>
        <w:tc>
          <w:tcPr>
            <w:tcW w:w="5812" w:type="dxa"/>
            <w:noWrap w:val="0"/>
            <w:vAlign w:val="center"/>
          </w:tcPr>
          <w:p w14:paraId="40DCA8A7">
            <w:pPr>
              <w:rPr>
                <w:rFonts w:hint="eastAsia" w:ascii="宋体" w:hAnsi="宋体" w:eastAsia="宋体" w:cs="宋体"/>
                <w:b/>
                <w:bCs/>
                <w:sz w:val="20"/>
                <w:szCs w:val="20"/>
              </w:rPr>
            </w:pPr>
            <w:r>
              <w:rPr>
                <w:rFonts w:hint="eastAsia" w:ascii="宋体" w:hAnsi="宋体" w:eastAsia="宋体" w:cs="宋体"/>
                <w:b/>
                <w:bCs/>
                <w:sz w:val="20"/>
                <w:szCs w:val="20"/>
              </w:rPr>
              <w:t>主要服务内容介绍</w:t>
            </w:r>
          </w:p>
        </w:tc>
      </w:tr>
      <w:tr w14:paraId="06C92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446FD26D">
            <w:pPr>
              <w:jc w:val="center"/>
              <w:rPr>
                <w:rFonts w:hint="eastAsia" w:ascii="宋体" w:hAnsi="宋体" w:eastAsia="宋体" w:cs="宋体"/>
                <w:sz w:val="20"/>
                <w:szCs w:val="20"/>
              </w:rPr>
            </w:pPr>
            <w:r>
              <w:rPr>
                <w:rFonts w:hint="eastAsia" w:ascii="宋体" w:hAnsi="宋体" w:eastAsia="宋体" w:cs="宋体"/>
                <w:sz w:val="20"/>
                <w:szCs w:val="20"/>
              </w:rPr>
              <w:t>1</w:t>
            </w:r>
          </w:p>
        </w:tc>
        <w:tc>
          <w:tcPr>
            <w:tcW w:w="2268" w:type="dxa"/>
            <w:noWrap w:val="0"/>
            <w:vAlign w:val="center"/>
          </w:tcPr>
          <w:p w14:paraId="1711C59A">
            <w:pPr>
              <w:jc w:val="center"/>
              <w:rPr>
                <w:rFonts w:hint="eastAsia" w:ascii="宋体" w:hAnsi="宋体" w:eastAsia="宋体" w:cs="宋体"/>
                <w:sz w:val="20"/>
                <w:szCs w:val="20"/>
                <w:lang w:val="en-US" w:eastAsia="zh-CN"/>
              </w:rPr>
            </w:pPr>
            <w:r>
              <w:rPr>
                <w:rFonts w:hint="eastAsia" w:ascii="宋体" w:hAnsi="宋体" w:eastAsia="宋体" w:cs="宋体"/>
                <w:sz w:val="20"/>
                <w:szCs w:val="20"/>
              </w:rPr>
              <w:t>归集</w:t>
            </w:r>
            <w:r>
              <w:rPr>
                <w:rFonts w:hint="eastAsia" w:ascii="宋体" w:hAnsi="宋体" w:eastAsia="宋体" w:cs="宋体"/>
                <w:sz w:val="20"/>
                <w:szCs w:val="20"/>
                <w:lang w:val="en-US" w:eastAsia="zh-CN"/>
              </w:rPr>
              <w:t>管理系统</w:t>
            </w:r>
          </w:p>
        </w:tc>
        <w:tc>
          <w:tcPr>
            <w:tcW w:w="5812" w:type="dxa"/>
            <w:noWrap w:val="0"/>
            <w:vAlign w:val="center"/>
          </w:tcPr>
          <w:p w14:paraId="74EA2F53">
            <w:pPr>
              <w:rPr>
                <w:rFonts w:hint="eastAsia" w:ascii="宋体" w:hAnsi="宋体" w:eastAsia="宋体" w:cs="宋体"/>
                <w:sz w:val="20"/>
                <w:szCs w:val="20"/>
              </w:rPr>
            </w:pPr>
            <w:r>
              <w:rPr>
                <w:rFonts w:hint="eastAsia" w:ascii="宋体" w:hAnsi="宋体" w:eastAsia="宋体" w:cs="宋体"/>
                <w:sz w:val="20"/>
                <w:szCs w:val="20"/>
              </w:rPr>
              <w:t>主要完成住房公积金的归集、变更</w:t>
            </w:r>
            <w:r>
              <w:rPr>
                <w:rFonts w:hint="eastAsia" w:ascii="宋体" w:hAnsi="宋体" w:eastAsia="宋体" w:cs="宋体"/>
                <w:sz w:val="20"/>
                <w:szCs w:val="20"/>
                <w:lang w:val="en-US" w:eastAsia="zh-CN"/>
              </w:rPr>
              <w:t>功能</w:t>
            </w:r>
            <w:r>
              <w:rPr>
                <w:rFonts w:hint="eastAsia" w:ascii="宋体" w:hAnsi="宋体" w:eastAsia="宋体" w:cs="宋体"/>
                <w:sz w:val="20"/>
                <w:szCs w:val="20"/>
              </w:rPr>
              <w:t>。主要包括住房公积金的汇缴、补缴、挂账、</w:t>
            </w:r>
            <w:r>
              <w:rPr>
                <w:rFonts w:hint="eastAsia" w:ascii="宋体" w:hAnsi="宋体" w:eastAsia="宋体" w:cs="宋体"/>
                <w:sz w:val="20"/>
                <w:szCs w:val="20"/>
                <w:lang w:val="en-US" w:eastAsia="zh-CN"/>
              </w:rPr>
              <w:t>冲账</w:t>
            </w:r>
            <w:r>
              <w:rPr>
                <w:rFonts w:hint="eastAsia" w:ascii="宋体" w:hAnsi="宋体" w:eastAsia="宋体" w:cs="宋体"/>
                <w:sz w:val="20"/>
                <w:szCs w:val="20"/>
              </w:rPr>
              <w:t>、</w:t>
            </w:r>
            <w:r>
              <w:rPr>
                <w:rFonts w:hint="eastAsia" w:ascii="宋体" w:hAnsi="宋体" w:eastAsia="宋体" w:cs="宋体"/>
                <w:sz w:val="20"/>
                <w:szCs w:val="20"/>
                <w:lang w:val="en-US" w:eastAsia="zh-CN"/>
              </w:rPr>
              <w:t>单位开户</w:t>
            </w:r>
            <w:r>
              <w:rPr>
                <w:rFonts w:hint="eastAsia" w:ascii="宋体" w:hAnsi="宋体" w:eastAsia="宋体" w:cs="宋体"/>
                <w:sz w:val="20"/>
                <w:szCs w:val="20"/>
              </w:rPr>
              <w:t>、单位封存、单位缓缴、</w:t>
            </w:r>
            <w:r>
              <w:rPr>
                <w:rFonts w:hint="eastAsia" w:ascii="宋体" w:hAnsi="宋体" w:eastAsia="宋体" w:cs="宋体"/>
                <w:sz w:val="20"/>
                <w:szCs w:val="20"/>
                <w:lang w:val="en-US" w:eastAsia="zh-CN"/>
              </w:rPr>
              <w:t>开人开户、</w:t>
            </w:r>
            <w:r>
              <w:rPr>
                <w:rFonts w:hint="eastAsia" w:ascii="宋体" w:hAnsi="宋体" w:eastAsia="宋体" w:cs="宋体"/>
                <w:sz w:val="20"/>
                <w:szCs w:val="20"/>
              </w:rPr>
              <w:t>个人封存、基数调整、异地转移接续等</w:t>
            </w:r>
            <w:r>
              <w:rPr>
                <w:rFonts w:hint="eastAsia" w:ascii="宋体" w:hAnsi="宋体" w:eastAsia="宋体" w:cs="宋体"/>
                <w:sz w:val="20"/>
                <w:szCs w:val="20"/>
                <w:lang w:val="en-US" w:eastAsia="zh-CN"/>
              </w:rPr>
              <w:t>操作</w:t>
            </w:r>
            <w:r>
              <w:rPr>
                <w:rFonts w:hint="eastAsia" w:ascii="宋体" w:hAnsi="宋体" w:eastAsia="宋体" w:cs="宋体"/>
                <w:sz w:val="20"/>
                <w:szCs w:val="20"/>
              </w:rPr>
              <w:t>。</w:t>
            </w:r>
          </w:p>
          <w:p w14:paraId="2378DCD3">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0EE28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1160D3A0">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w:t>
            </w:r>
          </w:p>
        </w:tc>
        <w:tc>
          <w:tcPr>
            <w:tcW w:w="2268" w:type="dxa"/>
            <w:noWrap w:val="0"/>
            <w:vAlign w:val="center"/>
          </w:tcPr>
          <w:p w14:paraId="3934E9D8">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提取管理系统</w:t>
            </w:r>
          </w:p>
        </w:tc>
        <w:tc>
          <w:tcPr>
            <w:tcW w:w="5812" w:type="dxa"/>
            <w:noWrap w:val="0"/>
            <w:vAlign w:val="center"/>
          </w:tcPr>
          <w:p w14:paraId="09E93691">
            <w:pPr>
              <w:rPr>
                <w:rFonts w:hint="eastAsia" w:ascii="宋体" w:hAnsi="宋体" w:eastAsia="宋体" w:cs="宋体"/>
                <w:sz w:val="20"/>
                <w:szCs w:val="20"/>
                <w:lang w:val="en-US" w:eastAsia="zh-CN"/>
              </w:rPr>
            </w:pPr>
            <w:r>
              <w:rPr>
                <w:rFonts w:hint="eastAsia" w:ascii="宋体" w:hAnsi="宋体" w:eastAsia="宋体" w:cs="宋体"/>
                <w:sz w:val="20"/>
                <w:szCs w:val="20"/>
              </w:rPr>
              <w:t>主要完成住房公积金的</w:t>
            </w:r>
            <w:r>
              <w:rPr>
                <w:rFonts w:hint="eastAsia" w:ascii="宋体" w:hAnsi="宋体" w:eastAsia="宋体" w:cs="宋体"/>
                <w:sz w:val="20"/>
                <w:szCs w:val="20"/>
                <w:lang w:val="en-US" w:eastAsia="zh-CN"/>
              </w:rPr>
              <w:t>提</w:t>
            </w:r>
            <w:r>
              <w:rPr>
                <w:rFonts w:hint="eastAsia" w:ascii="宋体" w:hAnsi="宋体" w:eastAsia="宋体" w:cs="宋体"/>
                <w:sz w:val="20"/>
                <w:szCs w:val="20"/>
              </w:rPr>
              <w:t>取</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转移等功能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主要包括购建房提取、租房提取、偿还住房贷款提取、离退休提取等操作。</w:t>
            </w:r>
          </w:p>
          <w:p w14:paraId="1CD82486">
            <w:pPr>
              <w:pStyle w:val="2"/>
              <w:rPr>
                <w:rFonts w:hint="eastAsia" w:ascii="宋体" w:hAnsi="宋体" w:eastAsia="宋体" w:cs="宋体"/>
                <w:sz w:val="20"/>
                <w:szCs w:val="20"/>
                <w:lang w:val="en-US" w:eastAsia="zh-CN"/>
              </w:rPr>
            </w:pPr>
            <w:r>
              <w:rPr>
                <w:rFonts w:hint="eastAsia" w:ascii="宋体" w:hAnsi="宋体" w:eastAsia="宋体" w:cs="宋体"/>
                <w:sz w:val="20"/>
                <w:szCs w:val="20"/>
              </w:rPr>
              <w:t>★必须在现有系统框架、系统设计、数据库库表结构基础上进行开发运维服务。</w:t>
            </w:r>
          </w:p>
        </w:tc>
      </w:tr>
      <w:tr w14:paraId="3CF02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13CE6052">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w:t>
            </w:r>
          </w:p>
        </w:tc>
        <w:tc>
          <w:tcPr>
            <w:tcW w:w="2268" w:type="dxa"/>
            <w:noWrap w:val="0"/>
            <w:vAlign w:val="center"/>
          </w:tcPr>
          <w:p w14:paraId="7654C9A1">
            <w:pPr>
              <w:jc w:val="center"/>
              <w:rPr>
                <w:rFonts w:hint="eastAsia" w:ascii="宋体" w:hAnsi="宋体" w:eastAsia="宋体" w:cs="宋体"/>
                <w:sz w:val="20"/>
                <w:szCs w:val="20"/>
              </w:rPr>
            </w:pPr>
            <w:r>
              <w:rPr>
                <w:rFonts w:hint="eastAsia" w:ascii="宋体" w:hAnsi="宋体" w:eastAsia="宋体" w:cs="宋体"/>
                <w:sz w:val="20"/>
                <w:szCs w:val="20"/>
                <w:lang w:val="en-US" w:eastAsia="zh-CN"/>
              </w:rPr>
              <w:t>个人贷款管理系统</w:t>
            </w:r>
          </w:p>
        </w:tc>
        <w:tc>
          <w:tcPr>
            <w:tcW w:w="5812" w:type="dxa"/>
            <w:noWrap w:val="0"/>
            <w:vAlign w:val="center"/>
          </w:tcPr>
          <w:p w14:paraId="75C1DFAE">
            <w:pPr>
              <w:rPr>
                <w:rFonts w:hint="eastAsia" w:ascii="宋体" w:hAnsi="宋体" w:eastAsia="宋体" w:cs="宋体"/>
                <w:sz w:val="20"/>
                <w:szCs w:val="20"/>
              </w:rPr>
            </w:pPr>
            <w:r>
              <w:rPr>
                <w:rFonts w:hint="eastAsia" w:ascii="宋体" w:hAnsi="宋体" w:eastAsia="宋体" w:cs="宋体"/>
                <w:sz w:val="20"/>
                <w:szCs w:val="20"/>
              </w:rPr>
              <w:t>主要完成住房公积金</w:t>
            </w:r>
            <w:r>
              <w:rPr>
                <w:rFonts w:hint="eastAsia" w:ascii="宋体" w:hAnsi="宋体" w:eastAsia="宋体" w:cs="宋体"/>
                <w:sz w:val="20"/>
                <w:szCs w:val="20"/>
                <w:lang w:val="en-US" w:eastAsia="zh-CN"/>
              </w:rPr>
              <w:t>贷款的管理功能</w:t>
            </w:r>
            <w:r>
              <w:rPr>
                <w:rFonts w:hint="eastAsia" w:ascii="宋体" w:hAnsi="宋体" w:eastAsia="宋体" w:cs="宋体"/>
                <w:sz w:val="20"/>
                <w:szCs w:val="20"/>
              </w:rPr>
              <w:t>。</w:t>
            </w:r>
            <w:r>
              <w:rPr>
                <w:rFonts w:hint="eastAsia" w:ascii="宋体" w:hAnsi="宋体" w:eastAsia="宋体" w:cs="宋体"/>
                <w:sz w:val="20"/>
                <w:szCs w:val="20"/>
                <w:lang w:val="en-US" w:eastAsia="zh-CN"/>
              </w:rPr>
              <w:t>主要</w:t>
            </w:r>
            <w:r>
              <w:rPr>
                <w:rFonts w:hint="eastAsia" w:ascii="宋体" w:hAnsi="宋体" w:eastAsia="宋体" w:cs="宋体"/>
                <w:sz w:val="20"/>
                <w:szCs w:val="20"/>
              </w:rPr>
              <w:t>包括开发商建档、准贷楼盘建档，个人住房贷款的申请、审批、还贷</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贷款管理等操作</w:t>
            </w:r>
            <w:r>
              <w:rPr>
                <w:rFonts w:hint="eastAsia" w:ascii="宋体" w:hAnsi="宋体" w:eastAsia="宋体" w:cs="宋体"/>
                <w:sz w:val="20"/>
                <w:szCs w:val="20"/>
              </w:rPr>
              <w:t>。</w:t>
            </w:r>
          </w:p>
          <w:p w14:paraId="3756F5FF">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213F8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228B3615">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p>
        </w:tc>
        <w:tc>
          <w:tcPr>
            <w:tcW w:w="2268" w:type="dxa"/>
            <w:noWrap w:val="0"/>
            <w:vAlign w:val="center"/>
          </w:tcPr>
          <w:p w14:paraId="2768AE92">
            <w:pPr>
              <w:jc w:val="center"/>
              <w:rPr>
                <w:rFonts w:hint="eastAsia" w:ascii="宋体" w:hAnsi="宋体" w:eastAsia="宋体" w:cs="宋体"/>
                <w:sz w:val="20"/>
                <w:szCs w:val="20"/>
              </w:rPr>
            </w:pPr>
            <w:r>
              <w:rPr>
                <w:rFonts w:hint="eastAsia" w:ascii="宋体" w:hAnsi="宋体" w:eastAsia="宋体" w:cs="宋体"/>
                <w:sz w:val="20"/>
                <w:szCs w:val="20"/>
                <w:lang w:val="en-US" w:eastAsia="zh-CN"/>
              </w:rPr>
              <w:t>会计核算管理系统</w:t>
            </w:r>
          </w:p>
        </w:tc>
        <w:tc>
          <w:tcPr>
            <w:tcW w:w="5812" w:type="dxa"/>
            <w:noWrap w:val="0"/>
            <w:vAlign w:val="center"/>
          </w:tcPr>
          <w:p w14:paraId="152EE615">
            <w:pPr>
              <w:rPr>
                <w:rFonts w:hint="eastAsia" w:ascii="宋体" w:hAnsi="宋体" w:eastAsia="宋体" w:cs="宋体"/>
                <w:sz w:val="20"/>
                <w:szCs w:val="20"/>
              </w:rPr>
            </w:pPr>
            <w:r>
              <w:rPr>
                <w:rFonts w:hint="eastAsia" w:ascii="宋体" w:hAnsi="宋体" w:eastAsia="宋体" w:cs="宋体"/>
                <w:sz w:val="20"/>
                <w:szCs w:val="20"/>
                <w:lang w:val="en-US" w:eastAsia="zh-CN"/>
              </w:rPr>
              <w:t>主要完成</w:t>
            </w:r>
            <w:r>
              <w:rPr>
                <w:rFonts w:hint="eastAsia" w:ascii="宋体" w:hAnsi="宋体" w:eastAsia="宋体" w:cs="宋体"/>
                <w:sz w:val="20"/>
                <w:szCs w:val="20"/>
              </w:rPr>
              <w:t>会计科目设置、科目余额设置、凭证录入、修改、审核、入帐、查询、结帐、核算、打印帐簿报表等功能。</w:t>
            </w:r>
          </w:p>
          <w:p w14:paraId="4EA46A11">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36022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4910F9B2">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2268" w:type="dxa"/>
            <w:noWrap w:val="0"/>
            <w:vAlign w:val="center"/>
          </w:tcPr>
          <w:p w14:paraId="2805B576">
            <w:pPr>
              <w:jc w:val="center"/>
              <w:rPr>
                <w:rFonts w:hint="eastAsia" w:ascii="宋体" w:hAnsi="宋体" w:eastAsia="宋体" w:cs="宋体"/>
                <w:sz w:val="20"/>
                <w:szCs w:val="20"/>
                <w:lang w:val="en-US" w:eastAsia="zh-CN"/>
              </w:rPr>
            </w:pPr>
            <w:r>
              <w:rPr>
                <w:rFonts w:hint="eastAsia" w:ascii="宋体" w:hAnsi="宋体" w:eastAsia="宋体" w:cs="宋体"/>
                <w:sz w:val="20"/>
                <w:szCs w:val="20"/>
              </w:rPr>
              <w:t>资金管理</w:t>
            </w:r>
            <w:r>
              <w:rPr>
                <w:rFonts w:hint="eastAsia" w:ascii="宋体" w:hAnsi="宋体" w:eastAsia="宋体" w:cs="宋体"/>
                <w:sz w:val="20"/>
                <w:szCs w:val="20"/>
                <w:lang w:val="en-US" w:eastAsia="zh-CN"/>
              </w:rPr>
              <w:t>系统</w:t>
            </w:r>
          </w:p>
        </w:tc>
        <w:tc>
          <w:tcPr>
            <w:tcW w:w="5812" w:type="dxa"/>
            <w:noWrap w:val="0"/>
            <w:vAlign w:val="center"/>
          </w:tcPr>
          <w:p w14:paraId="31E746B7">
            <w:pPr>
              <w:rPr>
                <w:rFonts w:hint="eastAsia" w:ascii="宋体" w:hAnsi="宋体" w:eastAsia="宋体" w:cs="宋体"/>
                <w:sz w:val="20"/>
                <w:szCs w:val="20"/>
              </w:rPr>
            </w:pPr>
            <w:r>
              <w:rPr>
                <w:rFonts w:hint="eastAsia" w:ascii="宋体" w:hAnsi="宋体" w:eastAsia="宋体" w:cs="宋体"/>
                <w:sz w:val="20"/>
                <w:szCs w:val="20"/>
                <w:lang w:val="en-US" w:eastAsia="zh-CN"/>
              </w:rPr>
              <w:t>主要完成</w:t>
            </w:r>
            <w:r>
              <w:rPr>
                <w:rFonts w:hint="eastAsia" w:ascii="宋体" w:hAnsi="宋体" w:eastAsia="宋体" w:cs="宋体"/>
                <w:sz w:val="20"/>
                <w:szCs w:val="20"/>
              </w:rPr>
              <w:t>贷款、提取等业务的资金调拔审批、调度、结算和投资管理功能，并对国债、定期、手续费管理、资金清算、账户设置业务形成一套规范管理体系。</w:t>
            </w:r>
          </w:p>
          <w:p w14:paraId="1A8BB16F">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4EAF1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41D6E598">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w:t>
            </w:r>
          </w:p>
        </w:tc>
        <w:tc>
          <w:tcPr>
            <w:tcW w:w="2268" w:type="dxa"/>
            <w:noWrap w:val="0"/>
            <w:vAlign w:val="center"/>
          </w:tcPr>
          <w:p w14:paraId="3CD5CD3F">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其他住房资金管理系统</w:t>
            </w:r>
          </w:p>
        </w:tc>
        <w:tc>
          <w:tcPr>
            <w:tcW w:w="5812" w:type="dxa"/>
            <w:noWrap w:val="0"/>
            <w:vAlign w:val="center"/>
          </w:tcPr>
          <w:p w14:paraId="4252FB83">
            <w:pPr>
              <w:rPr>
                <w:rFonts w:hint="eastAsia" w:ascii="宋体" w:hAnsi="宋体" w:eastAsia="宋体" w:cs="宋体"/>
                <w:sz w:val="20"/>
                <w:szCs w:val="20"/>
              </w:rPr>
            </w:pPr>
            <w:r>
              <w:rPr>
                <w:rFonts w:hint="eastAsia" w:ascii="宋体" w:hAnsi="宋体" w:eastAsia="宋体" w:cs="宋体"/>
                <w:sz w:val="20"/>
                <w:szCs w:val="20"/>
                <w:lang w:val="en-US" w:eastAsia="zh-CN"/>
              </w:rPr>
              <w:t>主要完成其他住房资金的单位开户、资金缴纳、支取审批等功能。</w:t>
            </w:r>
          </w:p>
          <w:p w14:paraId="41DEF9F9">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28A9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2FCBA70F">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2268" w:type="dxa"/>
            <w:noWrap w:val="0"/>
            <w:vAlign w:val="center"/>
          </w:tcPr>
          <w:p w14:paraId="55E6010B">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住房补贴管理系统</w:t>
            </w:r>
          </w:p>
        </w:tc>
        <w:tc>
          <w:tcPr>
            <w:tcW w:w="5812" w:type="dxa"/>
            <w:noWrap w:val="0"/>
            <w:vAlign w:val="center"/>
          </w:tcPr>
          <w:p w14:paraId="6328152F">
            <w:pPr>
              <w:rPr>
                <w:rFonts w:hint="eastAsia" w:ascii="宋体" w:hAnsi="宋体" w:eastAsia="宋体" w:cs="宋体"/>
                <w:sz w:val="20"/>
                <w:szCs w:val="20"/>
              </w:rPr>
            </w:pPr>
            <w:r>
              <w:rPr>
                <w:rFonts w:hint="eastAsia" w:ascii="宋体" w:hAnsi="宋体" w:eastAsia="宋体" w:cs="宋体"/>
                <w:sz w:val="20"/>
                <w:szCs w:val="20"/>
                <w:lang w:val="en-US" w:eastAsia="zh-CN"/>
              </w:rPr>
              <w:t>主要完成住房补贴的单位开户、个人开户、信息变更、资金缴纳、支取审批等功能。</w:t>
            </w:r>
          </w:p>
          <w:p w14:paraId="4C7ECA38">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4E58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14B2E7E0">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2268" w:type="dxa"/>
            <w:noWrap w:val="0"/>
            <w:vAlign w:val="center"/>
          </w:tcPr>
          <w:p w14:paraId="0573D44E">
            <w:pPr>
              <w:jc w:val="center"/>
              <w:rPr>
                <w:rFonts w:hint="eastAsia" w:ascii="宋体" w:hAnsi="宋体" w:eastAsia="宋体" w:cs="宋体"/>
                <w:sz w:val="20"/>
                <w:szCs w:val="20"/>
              </w:rPr>
            </w:pPr>
            <w:r>
              <w:rPr>
                <w:rFonts w:hint="eastAsia" w:ascii="宋体" w:hAnsi="宋体" w:eastAsia="宋体" w:cs="宋体"/>
                <w:sz w:val="20"/>
                <w:szCs w:val="20"/>
                <w:lang w:val="en-US" w:eastAsia="zh-CN"/>
              </w:rPr>
              <w:t>综合服务管理平台</w:t>
            </w:r>
          </w:p>
        </w:tc>
        <w:tc>
          <w:tcPr>
            <w:tcW w:w="5812" w:type="dxa"/>
            <w:noWrap w:val="0"/>
            <w:vAlign w:val="center"/>
          </w:tcPr>
          <w:p w14:paraId="2C47D9D0">
            <w:pPr>
              <w:rPr>
                <w:rFonts w:hint="eastAsia" w:ascii="宋体" w:hAnsi="宋体" w:eastAsia="宋体" w:cs="宋体"/>
                <w:sz w:val="20"/>
                <w:szCs w:val="20"/>
              </w:rPr>
            </w:pPr>
            <w:r>
              <w:rPr>
                <w:rFonts w:hint="eastAsia" w:ascii="宋体" w:hAnsi="宋体" w:eastAsia="宋体" w:cs="宋体"/>
                <w:sz w:val="20"/>
                <w:szCs w:val="20"/>
                <w:lang w:val="en-US" w:eastAsia="zh-CN"/>
              </w:rPr>
              <w:t>主要实现各服务渠道的服务部署、接入控制，启停管理和数据统计等功能。</w:t>
            </w:r>
          </w:p>
          <w:p w14:paraId="3F861C54">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3615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0975E615">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w:t>
            </w:r>
          </w:p>
        </w:tc>
        <w:tc>
          <w:tcPr>
            <w:tcW w:w="2268" w:type="dxa"/>
            <w:noWrap w:val="0"/>
            <w:vAlign w:val="center"/>
          </w:tcPr>
          <w:p w14:paraId="76D9A609">
            <w:pPr>
              <w:jc w:val="center"/>
              <w:rPr>
                <w:rFonts w:hint="eastAsia" w:ascii="宋体" w:hAnsi="宋体" w:eastAsia="宋体" w:cs="宋体"/>
                <w:sz w:val="20"/>
                <w:szCs w:val="20"/>
              </w:rPr>
            </w:pPr>
            <w:r>
              <w:rPr>
                <w:rFonts w:hint="eastAsia" w:ascii="宋体" w:hAnsi="宋体" w:eastAsia="宋体" w:cs="宋体"/>
                <w:sz w:val="20"/>
                <w:szCs w:val="20"/>
                <w:lang w:val="en-US" w:eastAsia="zh-CN"/>
              </w:rPr>
              <w:t>手机公积金APP</w:t>
            </w:r>
          </w:p>
        </w:tc>
        <w:tc>
          <w:tcPr>
            <w:tcW w:w="5812" w:type="dxa"/>
            <w:noWrap w:val="0"/>
            <w:vAlign w:val="center"/>
          </w:tcPr>
          <w:p w14:paraId="58FA0F45">
            <w:pPr>
              <w:rPr>
                <w:rFonts w:hint="eastAsia" w:ascii="宋体" w:hAnsi="宋体" w:eastAsia="宋体" w:cs="宋体"/>
                <w:sz w:val="20"/>
                <w:szCs w:val="20"/>
              </w:rPr>
            </w:pPr>
            <w:r>
              <w:rPr>
                <w:rFonts w:hint="eastAsia" w:ascii="宋体" w:hAnsi="宋体" w:eastAsia="宋体" w:cs="宋体"/>
                <w:sz w:val="20"/>
                <w:szCs w:val="20"/>
              </w:rPr>
              <w:t>手机app实现公积金归集、贷款查询，冲还贷、离退休提取等业务办理。</w:t>
            </w:r>
          </w:p>
          <w:p w14:paraId="57B2FC38">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3CB0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23C99130">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2268" w:type="dxa"/>
            <w:noWrap w:val="0"/>
            <w:vAlign w:val="center"/>
          </w:tcPr>
          <w:p w14:paraId="07FC2BED">
            <w:pPr>
              <w:jc w:val="center"/>
              <w:rPr>
                <w:rFonts w:hint="eastAsia" w:ascii="宋体" w:hAnsi="宋体" w:eastAsia="宋体" w:cs="宋体"/>
                <w:sz w:val="20"/>
                <w:szCs w:val="20"/>
              </w:rPr>
            </w:pPr>
            <w:r>
              <w:rPr>
                <w:rFonts w:hint="eastAsia" w:ascii="宋体" w:hAnsi="宋体" w:eastAsia="宋体" w:cs="宋体"/>
                <w:sz w:val="20"/>
                <w:szCs w:val="20"/>
                <w:lang w:val="en-US" w:eastAsia="zh-CN"/>
              </w:rPr>
              <w:t>网上业务大厅</w:t>
            </w:r>
          </w:p>
        </w:tc>
        <w:tc>
          <w:tcPr>
            <w:tcW w:w="5812" w:type="dxa"/>
            <w:noWrap w:val="0"/>
            <w:vAlign w:val="center"/>
          </w:tcPr>
          <w:p w14:paraId="04C8A40F">
            <w:pPr>
              <w:rPr>
                <w:rFonts w:hint="eastAsia" w:ascii="宋体" w:hAnsi="宋体" w:eastAsia="宋体" w:cs="宋体"/>
                <w:sz w:val="20"/>
                <w:szCs w:val="20"/>
              </w:rPr>
            </w:pPr>
            <w:r>
              <w:rPr>
                <w:rFonts w:hint="eastAsia" w:ascii="宋体" w:hAnsi="宋体" w:eastAsia="宋体" w:cs="宋体"/>
                <w:sz w:val="20"/>
                <w:szCs w:val="20"/>
              </w:rPr>
              <w:t>网上业务大厅系统是住房公积金管理中心为单位、缴存职工建立的一个网上业务办理服务平台，达到单位住房公积金业务与中心实时互动，查询公积金缴存业务资金到账情况。</w:t>
            </w:r>
          </w:p>
          <w:p w14:paraId="11DB77D1">
            <w:pPr>
              <w:rPr>
                <w:rFonts w:hint="eastAsia" w:ascii="宋体" w:hAnsi="宋体" w:eastAsia="宋体" w:cs="宋体"/>
                <w:sz w:val="20"/>
                <w:szCs w:val="20"/>
              </w:rPr>
            </w:pPr>
            <w:r>
              <w:rPr>
                <w:rFonts w:hint="eastAsia" w:ascii="宋体" w:hAnsi="宋体" w:eastAsia="宋体" w:cs="宋体"/>
                <w:sz w:val="20"/>
                <w:szCs w:val="20"/>
              </w:rPr>
              <w:t xml:space="preserve">★必须在现有系统框架、系统设计、数据库库表结构基础上进行开发运维服务。 </w:t>
            </w:r>
          </w:p>
        </w:tc>
      </w:tr>
      <w:tr w14:paraId="0965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2AFA9BF5">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11</w:t>
            </w:r>
          </w:p>
        </w:tc>
        <w:tc>
          <w:tcPr>
            <w:tcW w:w="2268" w:type="dxa"/>
            <w:noWrap w:val="0"/>
            <w:vAlign w:val="center"/>
          </w:tcPr>
          <w:p w14:paraId="637CF8B1">
            <w:pPr>
              <w:jc w:val="center"/>
              <w:rPr>
                <w:rFonts w:hint="eastAsia" w:ascii="宋体" w:hAnsi="宋体" w:eastAsia="宋体" w:cs="宋体"/>
                <w:sz w:val="20"/>
                <w:szCs w:val="20"/>
              </w:rPr>
            </w:pPr>
            <w:r>
              <w:rPr>
                <w:rFonts w:hint="eastAsia" w:ascii="宋体" w:hAnsi="宋体" w:eastAsia="宋体" w:cs="宋体"/>
                <w:sz w:val="20"/>
                <w:szCs w:val="20"/>
                <w:lang w:val="en-US" w:eastAsia="zh-CN"/>
              </w:rPr>
              <w:t>短信平台</w:t>
            </w:r>
          </w:p>
        </w:tc>
        <w:tc>
          <w:tcPr>
            <w:tcW w:w="5812" w:type="dxa"/>
            <w:noWrap w:val="0"/>
            <w:vAlign w:val="center"/>
          </w:tcPr>
          <w:p w14:paraId="7E594A9D">
            <w:pPr>
              <w:rPr>
                <w:rFonts w:hint="eastAsia" w:ascii="宋体" w:hAnsi="宋体" w:eastAsia="宋体" w:cs="宋体"/>
                <w:sz w:val="20"/>
                <w:szCs w:val="20"/>
              </w:rPr>
            </w:pPr>
            <w:r>
              <w:rPr>
                <w:rFonts w:hint="eastAsia" w:ascii="宋体" w:hAnsi="宋体" w:eastAsia="宋体" w:cs="宋体"/>
                <w:sz w:val="20"/>
                <w:szCs w:val="20"/>
                <w:lang w:val="en-US" w:eastAsia="zh-CN"/>
              </w:rPr>
              <w:t>提供</w:t>
            </w:r>
            <w:r>
              <w:rPr>
                <w:rFonts w:hint="eastAsia" w:ascii="宋体" w:hAnsi="宋体" w:eastAsia="宋体" w:cs="宋体"/>
                <w:sz w:val="20"/>
                <w:szCs w:val="20"/>
              </w:rPr>
              <w:t>短信平台接口，实现汇缴职工短信收发功能。</w:t>
            </w:r>
          </w:p>
          <w:p w14:paraId="58D47001">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3E470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11B1FF8A">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12</w:t>
            </w:r>
          </w:p>
        </w:tc>
        <w:tc>
          <w:tcPr>
            <w:tcW w:w="2268" w:type="dxa"/>
            <w:noWrap w:val="0"/>
            <w:vAlign w:val="center"/>
          </w:tcPr>
          <w:p w14:paraId="543CF597">
            <w:pPr>
              <w:jc w:val="center"/>
              <w:rPr>
                <w:rFonts w:hint="eastAsia" w:ascii="宋体" w:hAnsi="宋体" w:eastAsia="宋体" w:cs="宋体"/>
                <w:sz w:val="20"/>
                <w:szCs w:val="20"/>
              </w:rPr>
            </w:pPr>
            <w:r>
              <w:rPr>
                <w:rFonts w:hint="eastAsia" w:ascii="宋体" w:hAnsi="宋体" w:eastAsia="宋体" w:cs="宋体"/>
                <w:sz w:val="20"/>
                <w:szCs w:val="20"/>
                <w:lang w:val="en-US" w:eastAsia="zh-CN"/>
              </w:rPr>
              <w:t>流程服务</w:t>
            </w:r>
          </w:p>
        </w:tc>
        <w:tc>
          <w:tcPr>
            <w:tcW w:w="5812" w:type="dxa"/>
            <w:noWrap w:val="0"/>
            <w:vAlign w:val="center"/>
          </w:tcPr>
          <w:p w14:paraId="0234310B">
            <w:pPr>
              <w:rPr>
                <w:rFonts w:hint="eastAsia" w:ascii="宋体" w:hAnsi="宋体" w:eastAsia="宋体" w:cs="宋体"/>
                <w:sz w:val="20"/>
                <w:szCs w:val="20"/>
              </w:rPr>
            </w:pPr>
            <w:r>
              <w:rPr>
                <w:rFonts w:hint="eastAsia" w:ascii="宋体" w:hAnsi="宋体" w:eastAsia="宋体" w:cs="宋体"/>
                <w:sz w:val="20"/>
                <w:szCs w:val="20"/>
              </w:rPr>
              <w:t>集中管理、定义、再造流程，实现全流程化管理，包括了流程定义、流程规则、流程执行、流程监控等部分，是业务协同的核心。通过流程定义、流程运行规则定义、流程审计和监控，来完成业务需求、运行条件的直接描述，并提供业务操作者、审批者、审计者、被服务对象的直接信息关联和交互。</w:t>
            </w:r>
          </w:p>
          <w:p w14:paraId="045AEA63">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6370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618FE5DD">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13</w:t>
            </w:r>
          </w:p>
        </w:tc>
        <w:tc>
          <w:tcPr>
            <w:tcW w:w="2268" w:type="dxa"/>
            <w:noWrap w:val="0"/>
            <w:vAlign w:val="center"/>
          </w:tcPr>
          <w:p w14:paraId="33EA3141">
            <w:pPr>
              <w:jc w:val="center"/>
              <w:rPr>
                <w:rFonts w:hint="eastAsia" w:ascii="宋体" w:hAnsi="宋体" w:eastAsia="宋体" w:cs="宋体"/>
                <w:sz w:val="20"/>
                <w:szCs w:val="20"/>
              </w:rPr>
            </w:pPr>
            <w:r>
              <w:rPr>
                <w:rFonts w:hint="eastAsia" w:ascii="宋体" w:hAnsi="宋体" w:eastAsia="宋体" w:cs="宋体"/>
                <w:sz w:val="20"/>
                <w:szCs w:val="20"/>
                <w:lang w:val="en-US" w:eastAsia="zh-CN"/>
              </w:rPr>
              <w:t>稽核审计</w:t>
            </w:r>
          </w:p>
        </w:tc>
        <w:tc>
          <w:tcPr>
            <w:tcW w:w="5812" w:type="dxa"/>
            <w:noWrap w:val="0"/>
            <w:vAlign w:val="center"/>
          </w:tcPr>
          <w:p w14:paraId="052B9692">
            <w:pPr>
              <w:rPr>
                <w:rFonts w:hint="eastAsia" w:ascii="宋体" w:hAnsi="宋体" w:eastAsia="宋体" w:cs="宋体"/>
                <w:sz w:val="20"/>
                <w:szCs w:val="20"/>
              </w:rPr>
            </w:pPr>
            <w:r>
              <w:rPr>
                <w:rFonts w:hint="eastAsia" w:ascii="宋体" w:hAnsi="宋体" w:eastAsia="宋体" w:cs="宋体"/>
                <w:sz w:val="20"/>
                <w:szCs w:val="20"/>
              </w:rPr>
              <w:t>稽核审计主要实现：业务报表、业务查询、财务报表、财务分析、凭证查询、资金流水、稽核报表</w:t>
            </w:r>
          </w:p>
          <w:p w14:paraId="44F2BA2D">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62CA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43BF5C69">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14</w:t>
            </w:r>
          </w:p>
        </w:tc>
        <w:tc>
          <w:tcPr>
            <w:tcW w:w="2268" w:type="dxa"/>
            <w:noWrap w:val="0"/>
            <w:vAlign w:val="center"/>
          </w:tcPr>
          <w:p w14:paraId="4939554C">
            <w:pPr>
              <w:jc w:val="center"/>
              <w:rPr>
                <w:rFonts w:hint="eastAsia" w:ascii="宋体" w:hAnsi="宋体" w:eastAsia="宋体" w:cs="宋体"/>
                <w:sz w:val="20"/>
                <w:szCs w:val="20"/>
              </w:rPr>
            </w:pPr>
            <w:r>
              <w:rPr>
                <w:rFonts w:hint="eastAsia" w:ascii="宋体" w:hAnsi="宋体" w:eastAsia="宋体" w:cs="宋体"/>
                <w:sz w:val="20"/>
                <w:szCs w:val="20"/>
                <w:lang w:val="en-US" w:eastAsia="zh-CN"/>
              </w:rPr>
              <w:t>行政办公</w:t>
            </w:r>
          </w:p>
        </w:tc>
        <w:tc>
          <w:tcPr>
            <w:tcW w:w="5812" w:type="dxa"/>
            <w:noWrap w:val="0"/>
            <w:vAlign w:val="center"/>
          </w:tcPr>
          <w:p w14:paraId="6DB11FF8">
            <w:pPr>
              <w:spacing w:line="300" w:lineRule="exact"/>
              <w:rPr>
                <w:rFonts w:hint="eastAsia" w:ascii="宋体" w:hAnsi="宋体" w:eastAsia="宋体" w:cs="宋体"/>
                <w:sz w:val="20"/>
                <w:szCs w:val="20"/>
                <w:lang w:val="en-US" w:eastAsia="zh-CN"/>
              </w:rPr>
            </w:pPr>
            <w:r>
              <w:rPr>
                <w:rFonts w:hint="eastAsia" w:ascii="宋体" w:hAnsi="宋体" w:eastAsia="宋体" w:cs="宋体"/>
                <w:sz w:val="20"/>
                <w:szCs w:val="20"/>
              </w:rPr>
              <w:t>主要实现</w:t>
            </w:r>
            <w:r>
              <w:rPr>
                <w:rFonts w:hint="eastAsia" w:ascii="宋体" w:hAnsi="宋体" w:eastAsia="宋体" w:cs="宋体"/>
                <w:sz w:val="20"/>
                <w:szCs w:val="20"/>
                <w:lang w:val="en-US" w:eastAsia="zh-CN"/>
              </w:rPr>
              <w:t>收发文管理，通知公告等功能。</w:t>
            </w:r>
          </w:p>
          <w:p w14:paraId="2C924FB4">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2962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70D55FC8">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2268" w:type="dxa"/>
            <w:noWrap w:val="0"/>
            <w:vAlign w:val="center"/>
          </w:tcPr>
          <w:p w14:paraId="2725CBC3">
            <w:pPr>
              <w:jc w:val="center"/>
              <w:rPr>
                <w:rFonts w:hint="eastAsia" w:ascii="宋体" w:hAnsi="宋体" w:eastAsia="宋体" w:cs="宋体"/>
                <w:sz w:val="20"/>
                <w:szCs w:val="20"/>
              </w:rPr>
            </w:pPr>
            <w:r>
              <w:rPr>
                <w:rFonts w:hint="eastAsia" w:ascii="宋体" w:hAnsi="宋体" w:eastAsia="宋体" w:cs="宋体"/>
                <w:sz w:val="20"/>
                <w:szCs w:val="20"/>
                <w:lang w:val="en-US" w:eastAsia="zh-CN"/>
              </w:rPr>
              <w:t>省监管服务平台</w:t>
            </w:r>
          </w:p>
        </w:tc>
        <w:tc>
          <w:tcPr>
            <w:tcW w:w="5812" w:type="dxa"/>
            <w:noWrap w:val="0"/>
            <w:vAlign w:val="center"/>
          </w:tcPr>
          <w:p w14:paraId="58676930">
            <w:pPr>
              <w:rPr>
                <w:rFonts w:hint="eastAsia" w:ascii="宋体" w:hAnsi="宋体" w:eastAsia="宋体" w:cs="宋体"/>
                <w:sz w:val="20"/>
                <w:szCs w:val="20"/>
              </w:rPr>
            </w:pPr>
            <w:r>
              <w:rPr>
                <w:rFonts w:hint="eastAsia" w:ascii="宋体" w:hAnsi="宋体" w:eastAsia="宋体" w:cs="宋体"/>
                <w:sz w:val="20"/>
                <w:szCs w:val="20"/>
                <w:lang w:val="en-US" w:eastAsia="zh-CN"/>
              </w:rPr>
              <w:t>接入省监管服务平台，</w:t>
            </w:r>
            <w:r>
              <w:rPr>
                <w:rFonts w:hint="eastAsia" w:ascii="宋体" w:hAnsi="宋体" w:eastAsia="宋体" w:cs="宋体"/>
                <w:sz w:val="20"/>
                <w:szCs w:val="20"/>
              </w:rPr>
              <w:t>实现对公积金业务的监督管理、大额资金预警等功能。</w:t>
            </w:r>
          </w:p>
          <w:p w14:paraId="79A31B2C">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644D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6B2BD92B">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16</w:t>
            </w:r>
          </w:p>
        </w:tc>
        <w:tc>
          <w:tcPr>
            <w:tcW w:w="2268" w:type="dxa"/>
            <w:noWrap w:val="0"/>
            <w:vAlign w:val="center"/>
          </w:tcPr>
          <w:p w14:paraId="06808A68">
            <w:pPr>
              <w:jc w:val="center"/>
              <w:rPr>
                <w:rFonts w:hint="eastAsia" w:ascii="宋体" w:hAnsi="宋体" w:eastAsia="宋体" w:cs="宋体"/>
                <w:sz w:val="20"/>
                <w:szCs w:val="20"/>
              </w:rPr>
            </w:pPr>
            <w:r>
              <w:rPr>
                <w:rFonts w:hint="eastAsia" w:ascii="宋体" w:hAnsi="宋体" w:eastAsia="宋体" w:cs="宋体"/>
                <w:sz w:val="20"/>
                <w:szCs w:val="20"/>
                <w:lang w:val="en-US" w:eastAsia="zh-CN"/>
              </w:rPr>
              <w:t>住建部（税务）数据上报系统</w:t>
            </w:r>
          </w:p>
        </w:tc>
        <w:tc>
          <w:tcPr>
            <w:tcW w:w="5812" w:type="dxa"/>
            <w:noWrap w:val="0"/>
            <w:vAlign w:val="center"/>
          </w:tcPr>
          <w:p w14:paraId="093A4AD6">
            <w:pPr>
              <w:rPr>
                <w:rFonts w:hint="eastAsia" w:ascii="宋体" w:hAnsi="宋体" w:eastAsia="宋体" w:cs="宋体"/>
                <w:sz w:val="20"/>
                <w:szCs w:val="20"/>
              </w:rPr>
            </w:pPr>
            <w:r>
              <w:rPr>
                <w:rFonts w:hint="eastAsia" w:ascii="宋体" w:hAnsi="宋体" w:eastAsia="宋体" w:cs="宋体"/>
                <w:sz w:val="20"/>
                <w:szCs w:val="20"/>
              </w:rPr>
              <w:t>实现与</w:t>
            </w:r>
            <w:r>
              <w:rPr>
                <w:rFonts w:hint="eastAsia" w:ascii="宋体" w:hAnsi="宋体" w:eastAsia="宋体" w:cs="宋体"/>
                <w:sz w:val="20"/>
                <w:szCs w:val="20"/>
                <w:lang w:val="en-US" w:eastAsia="zh-CN"/>
              </w:rPr>
              <w:t>住建部全国住房公积金数据平台的接入和数据上报功能</w:t>
            </w:r>
            <w:r>
              <w:rPr>
                <w:rFonts w:hint="eastAsia" w:ascii="宋体" w:hAnsi="宋体" w:eastAsia="宋体" w:cs="宋体"/>
                <w:sz w:val="20"/>
                <w:szCs w:val="20"/>
              </w:rPr>
              <w:t>。</w:t>
            </w:r>
          </w:p>
          <w:p w14:paraId="371125F0">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1F9E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5A7B2332">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17</w:t>
            </w:r>
          </w:p>
        </w:tc>
        <w:tc>
          <w:tcPr>
            <w:tcW w:w="2268" w:type="dxa"/>
            <w:noWrap w:val="0"/>
            <w:vAlign w:val="center"/>
          </w:tcPr>
          <w:p w14:paraId="0F136603">
            <w:pPr>
              <w:jc w:val="center"/>
              <w:rPr>
                <w:rFonts w:hint="eastAsia" w:ascii="宋体" w:hAnsi="宋体" w:eastAsia="宋体" w:cs="宋体"/>
                <w:sz w:val="20"/>
                <w:szCs w:val="20"/>
              </w:rPr>
            </w:pPr>
            <w:r>
              <w:rPr>
                <w:rFonts w:hint="eastAsia" w:ascii="宋体" w:hAnsi="宋体" w:eastAsia="宋体" w:cs="宋体"/>
                <w:sz w:val="20"/>
                <w:szCs w:val="20"/>
                <w:lang w:val="en-US" w:eastAsia="zh-CN"/>
              </w:rPr>
              <w:t>征信上报与查询系统</w:t>
            </w:r>
          </w:p>
        </w:tc>
        <w:tc>
          <w:tcPr>
            <w:tcW w:w="5812" w:type="dxa"/>
            <w:noWrap w:val="0"/>
            <w:vAlign w:val="center"/>
          </w:tcPr>
          <w:p w14:paraId="6CF88AE8">
            <w:pPr>
              <w:rPr>
                <w:rFonts w:hint="eastAsia" w:ascii="宋体" w:hAnsi="宋体" w:eastAsia="宋体" w:cs="宋体"/>
                <w:sz w:val="20"/>
                <w:szCs w:val="20"/>
              </w:rPr>
            </w:pPr>
            <w:r>
              <w:rPr>
                <w:rFonts w:hint="eastAsia" w:ascii="宋体" w:hAnsi="宋体" w:eastAsia="宋体" w:cs="宋体"/>
                <w:sz w:val="20"/>
                <w:szCs w:val="20"/>
              </w:rPr>
              <w:t>实现与人行报送征信数据系统的运维与拓展服务。</w:t>
            </w:r>
          </w:p>
          <w:p w14:paraId="2F17BAAD">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60624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01F86907">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18</w:t>
            </w:r>
          </w:p>
        </w:tc>
        <w:tc>
          <w:tcPr>
            <w:tcW w:w="2268" w:type="dxa"/>
            <w:noWrap w:val="0"/>
            <w:vAlign w:val="center"/>
          </w:tcPr>
          <w:p w14:paraId="545D0983">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支付宝城市服务接口</w:t>
            </w:r>
          </w:p>
        </w:tc>
        <w:tc>
          <w:tcPr>
            <w:tcW w:w="5812" w:type="dxa"/>
            <w:noWrap w:val="0"/>
            <w:vAlign w:val="center"/>
          </w:tcPr>
          <w:p w14:paraId="4993C701">
            <w:pPr>
              <w:rPr>
                <w:rFonts w:hint="eastAsia" w:ascii="宋体" w:hAnsi="宋体" w:eastAsia="宋体" w:cs="宋体"/>
                <w:sz w:val="20"/>
                <w:szCs w:val="20"/>
              </w:rPr>
            </w:pPr>
            <w:r>
              <w:rPr>
                <w:rFonts w:hint="eastAsia" w:ascii="宋体" w:hAnsi="宋体" w:eastAsia="宋体" w:cs="宋体"/>
                <w:sz w:val="20"/>
                <w:szCs w:val="20"/>
              </w:rPr>
              <w:t>实现与</w:t>
            </w:r>
            <w:r>
              <w:rPr>
                <w:rFonts w:hint="eastAsia" w:ascii="宋体" w:hAnsi="宋体" w:eastAsia="宋体" w:cs="宋体"/>
                <w:sz w:val="20"/>
                <w:szCs w:val="20"/>
                <w:lang w:val="en-US" w:eastAsia="zh-CN"/>
              </w:rPr>
              <w:t>支付宝城市服务</w:t>
            </w:r>
            <w:r>
              <w:rPr>
                <w:rFonts w:hint="eastAsia" w:ascii="宋体" w:hAnsi="宋体" w:eastAsia="宋体" w:cs="宋体"/>
                <w:sz w:val="20"/>
                <w:szCs w:val="20"/>
              </w:rPr>
              <w:t>接口的运维与拓展服务。</w:t>
            </w:r>
          </w:p>
          <w:p w14:paraId="48610F3F">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46C2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3F5D8410">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19</w:t>
            </w:r>
          </w:p>
        </w:tc>
        <w:tc>
          <w:tcPr>
            <w:tcW w:w="2268" w:type="dxa"/>
            <w:noWrap w:val="0"/>
            <w:vAlign w:val="center"/>
          </w:tcPr>
          <w:p w14:paraId="23E15F01">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微信接口</w:t>
            </w:r>
          </w:p>
        </w:tc>
        <w:tc>
          <w:tcPr>
            <w:tcW w:w="5812" w:type="dxa"/>
            <w:noWrap w:val="0"/>
            <w:vAlign w:val="center"/>
          </w:tcPr>
          <w:p w14:paraId="38ED7747">
            <w:pPr>
              <w:rPr>
                <w:rFonts w:hint="eastAsia" w:ascii="宋体" w:hAnsi="宋体" w:eastAsia="宋体" w:cs="宋体"/>
                <w:sz w:val="20"/>
                <w:szCs w:val="20"/>
              </w:rPr>
            </w:pPr>
            <w:r>
              <w:rPr>
                <w:rFonts w:hint="eastAsia" w:ascii="宋体" w:hAnsi="宋体" w:eastAsia="宋体" w:cs="宋体"/>
                <w:sz w:val="20"/>
                <w:szCs w:val="20"/>
              </w:rPr>
              <w:t>实现与</w:t>
            </w:r>
            <w:r>
              <w:rPr>
                <w:rFonts w:hint="eastAsia" w:ascii="宋体" w:hAnsi="宋体" w:eastAsia="宋体" w:cs="宋体"/>
                <w:sz w:val="20"/>
                <w:szCs w:val="20"/>
                <w:lang w:val="en-US" w:eastAsia="zh-CN"/>
              </w:rPr>
              <w:t>微信公众号的服务</w:t>
            </w:r>
            <w:r>
              <w:rPr>
                <w:rFonts w:hint="eastAsia" w:ascii="宋体" w:hAnsi="宋体" w:eastAsia="宋体" w:cs="宋体"/>
                <w:sz w:val="20"/>
                <w:szCs w:val="20"/>
              </w:rPr>
              <w:t>接口的运维与拓展服务。</w:t>
            </w:r>
          </w:p>
          <w:p w14:paraId="76324105">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1508E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219E3457">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p>
        </w:tc>
        <w:tc>
          <w:tcPr>
            <w:tcW w:w="2268" w:type="dxa"/>
            <w:noWrap w:val="0"/>
            <w:vAlign w:val="center"/>
          </w:tcPr>
          <w:p w14:paraId="50984130">
            <w:pPr>
              <w:jc w:val="center"/>
              <w:rPr>
                <w:rFonts w:hint="eastAsia" w:ascii="宋体" w:hAnsi="宋体" w:eastAsia="宋体" w:cs="宋体"/>
                <w:sz w:val="20"/>
                <w:szCs w:val="20"/>
              </w:rPr>
            </w:pPr>
            <w:r>
              <w:rPr>
                <w:rFonts w:hint="eastAsia" w:ascii="宋体" w:hAnsi="宋体" w:eastAsia="宋体" w:cs="宋体"/>
                <w:sz w:val="20"/>
                <w:szCs w:val="20"/>
                <w:lang w:val="en-US" w:eastAsia="zh-CN"/>
              </w:rPr>
              <w:t>房改办住房补贴接口</w:t>
            </w:r>
          </w:p>
        </w:tc>
        <w:tc>
          <w:tcPr>
            <w:tcW w:w="5812" w:type="dxa"/>
            <w:noWrap w:val="0"/>
            <w:vAlign w:val="center"/>
          </w:tcPr>
          <w:p w14:paraId="256BF348">
            <w:pPr>
              <w:rPr>
                <w:rFonts w:hint="eastAsia" w:ascii="宋体" w:hAnsi="宋体" w:eastAsia="宋体" w:cs="宋体"/>
                <w:sz w:val="20"/>
                <w:szCs w:val="20"/>
              </w:rPr>
            </w:pPr>
            <w:r>
              <w:rPr>
                <w:rFonts w:hint="eastAsia" w:ascii="宋体" w:hAnsi="宋体" w:eastAsia="宋体" w:cs="宋体"/>
                <w:sz w:val="20"/>
                <w:szCs w:val="20"/>
              </w:rPr>
              <w:t>实现与</w:t>
            </w:r>
            <w:r>
              <w:rPr>
                <w:rFonts w:hint="eastAsia" w:ascii="宋体" w:hAnsi="宋体" w:eastAsia="宋体" w:cs="宋体"/>
                <w:sz w:val="20"/>
                <w:szCs w:val="20"/>
                <w:lang w:val="en-US" w:eastAsia="zh-CN"/>
              </w:rPr>
              <w:t>房改办住房补贴共享数据服务</w:t>
            </w:r>
            <w:r>
              <w:rPr>
                <w:rFonts w:hint="eastAsia" w:ascii="宋体" w:hAnsi="宋体" w:eastAsia="宋体" w:cs="宋体"/>
                <w:sz w:val="20"/>
                <w:szCs w:val="20"/>
              </w:rPr>
              <w:t>接口的运维与拓展服务。</w:t>
            </w:r>
          </w:p>
          <w:p w14:paraId="6E08C586">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66158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628982F4">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21</w:t>
            </w:r>
          </w:p>
        </w:tc>
        <w:tc>
          <w:tcPr>
            <w:tcW w:w="2268" w:type="dxa"/>
            <w:noWrap w:val="0"/>
            <w:vAlign w:val="center"/>
          </w:tcPr>
          <w:p w14:paraId="77145564">
            <w:pPr>
              <w:jc w:val="center"/>
              <w:rPr>
                <w:rFonts w:hint="eastAsia" w:ascii="宋体" w:hAnsi="宋体" w:eastAsia="宋体" w:cs="宋体"/>
                <w:sz w:val="20"/>
                <w:szCs w:val="20"/>
              </w:rPr>
            </w:pPr>
            <w:r>
              <w:rPr>
                <w:rFonts w:hint="eastAsia" w:ascii="宋体" w:hAnsi="宋体" w:eastAsia="宋体" w:cs="宋体"/>
                <w:sz w:val="20"/>
                <w:szCs w:val="20"/>
                <w:lang w:val="en-US" w:eastAsia="zh-CN"/>
              </w:rPr>
              <w:t>一网通办数据共享系统、一网通办APP接口与一网通办大数据局接口服务</w:t>
            </w:r>
          </w:p>
        </w:tc>
        <w:tc>
          <w:tcPr>
            <w:tcW w:w="5812" w:type="dxa"/>
            <w:noWrap w:val="0"/>
            <w:vAlign w:val="center"/>
          </w:tcPr>
          <w:p w14:paraId="772F7CD4">
            <w:pPr>
              <w:rPr>
                <w:rFonts w:hint="eastAsia" w:ascii="宋体" w:hAnsi="宋体" w:eastAsia="宋体" w:cs="宋体"/>
                <w:sz w:val="20"/>
                <w:szCs w:val="20"/>
              </w:rPr>
            </w:pPr>
            <w:r>
              <w:rPr>
                <w:rFonts w:hint="eastAsia" w:ascii="宋体" w:hAnsi="宋体" w:eastAsia="宋体" w:cs="宋体"/>
                <w:sz w:val="20"/>
                <w:szCs w:val="20"/>
              </w:rPr>
              <w:t>实现与</w:t>
            </w:r>
            <w:r>
              <w:rPr>
                <w:rFonts w:hint="eastAsia" w:ascii="宋体" w:hAnsi="宋体" w:eastAsia="宋体" w:cs="宋体"/>
                <w:sz w:val="20"/>
                <w:szCs w:val="20"/>
                <w:lang w:val="en-US" w:eastAsia="zh-CN"/>
              </w:rPr>
              <w:t>一网通办APP接口和一网通办大数据共享服务</w:t>
            </w:r>
            <w:r>
              <w:rPr>
                <w:rFonts w:hint="eastAsia" w:ascii="宋体" w:hAnsi="宋体" w:eastAsia="宋体" w:cs="宋体"/>
                <w:sz w:val="20"/>
                <w:szCs w:val="20"/>
              </w:rPr>
              <w:t>接口的运维与拓展服务。</w:t>
            </w:r>
          </w:p>
          <w:p w14:paraId="00EBD79C">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26166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057085C9">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22</w:t>
            </w:r>
          </w:p>
        </w:tc>
        <w:tc>
          <w:tcPr>
            <w:tcW w:w="2268" w:type="dxa"/>
            <w:noWrap w:val="0"/>
            <w:vAlign w:val="center"/>
          </w:tcPr>
          <w:p w14:paraId="4705F931">
            <w:pPr>
              <w:jc w:val="center"/>
              <w:rPr>
                <w:rFonts w:hint="eastAsia" w:ascii="宋体" w:hAnsi="宋体" w:eastAsia="宋体" w:cs="宋体"/>
                <w:sz w:val="20"/>
                <w:szCs w:val="20"/>
              </w:rPr>
            </w:pPr>
            <w:r>
              <w:rPr>
                <w:rFonts w:hint="eastAsia" w:ascii="宋体" w:hAnsi="宋体" w:eastAsia="宋体" w:cs="宋体"/>
                <w:sz w:val="20"/>
                <w:szCs w:val="20"/>
                <w:lang w:val="en-US" w:eastAsia="zh-CN"/>
              </w:rPr>
              <w:t>商业</w:t>
            </w:r>
            <w:r>
              <w:rPr>
                <w:rFonts w:hint="eastAsia" w:ascii="宋体" w:hAnsi="宋体" w:eastAsia="宋体" w:cs="宋体"/>
                <w:sz w:val="20"/>
                <w:szCs w:val="20"/>
              </w:rPr>
              <w:t>银行</w:t>
            </w:r>
            <w:r>
              <w:rPr>
                <w:rFonts w:hint="eastAsia" w:ascii="宋体" w:hAnsi="宋体" w:eastAsia="宋体" w:cs="宋体"/>
                <w:sz w:val="20"/>
                <w:szCs w:val="20"/>
                <w:lang w:val="en-US" w:eastAsia="zh-CN"/>
              </w:rPr>
              <w:t>贷款查询</w:t>
            </w:r>
            <w:r>
              <w:rPr>
                <w:rFonts w:hint="eastAsia" w:ascii="宋体" w:hAnsi="宋体" w:eastAsia="宋体" w:cs="宋体"/>
                <w:sz w:val="20"/>
                <w:szCs w:val="20"/>
              </w:rPr>
              <w:t>接口</w:t>
            </w:r>
          </w:p>
        </w:tc>
        <w:tc>
          <w:tcPr>
            <w:tcW w:w="5812" w:type="dxa"/>
            <w:noWrap w:val="0"/>
            <w:vAlign w:val="center"/>
          </w:tcPr>
          <w:p w14:paraId="03AC3D77">
            <w:pPr>
              <w:rPr>
                <w:rFonts w:hint="eastAsia" w:ascii="宋体" w:hAnsi="宋体" w:eastAsia="宋体" w:cs="宋体"/>
                <w:sz w:val="20"/>
                <w:szCs w:val="20"/>
              </w:rPr>
            </w:pPr>
            <w:r>
              <w:rPr>
                <w:rFonts w:hint="eastAsia" w:ascii="宋体" w:hAnsi="宋体" w:eastAsia="宋体" w:cs="宋体"/>
                <w:sz w:val="20"/>
                <w:szCs w:val="20"/>
              </w:rPr>
              <w:t>实现与各合作银行</w:t>
            </w:r>
            <w:r>
              <w:rPr>
                <w:rFonts w:hint="eastAsia" w:ascii="宋体" w:hAnsi="宋体" w:eastAsia="宋体" w:cs="宋体"/>
                <w:sz w:val="20"/>
                <w:szCs w:val="20"/>
                <w:lang w:val="en-US" w:eastAsia="zh-CN"/>
              </w:rPr>
              <w:t>商贷</w:t>
            </w:r>
            <w:r>
              <w:rPr>
                <w:rFonts w:hint="eastAsia" w:ascii="宋体" w:hAnsi="宋体" w:eastAsia="宋体" w:cs="宋体"/>
                <w:sz w:val="20"/>
                <w:szCs w:val="20"/>
              </w:rPr>
              <w:t>查询接口的运维与拓展服务。</w:t>
            </w:r>
          </w:p>
          <w:p w14:paraId="0892ACC2">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r w14:paraId="37E1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52" w:type="dxa"/>
            <w:noWrap w:val="0"/>
            <w:vAlign w:val="center"/>
          </w:tcPr>
          <w:p w14:paraId="7FA70EC4">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23</w:t>
            </w:r>
          </w:p>
        </w:tc>
        <w:tc>
          <w:tcPr>
            <w:tcW w:w="2268" w:type="dxa"/>
            <w:noWrap w:val="0"/>
            <w:vAlign w:val="center"/>
          </w:tcPr>
          <w:p w14:paraId="46C573F8">
            <w:pPr>
              <w:jc w:val="center"/>
              <w:rPr>
                <w:rFonts w:hint="eastAsia" w:ascii="宋体" w:hAnsi="宋体" w:eastAsia="宋体" w:cs="宋体"/>
                <w:sz w:val="20"/>
                <w:szCs w:val="20"/>
              </w:rPr>
            </w:pPr>
            <w:r>
              <w:rPr>
                <w:rFonts w:hint="eastAsia" w:ascii="宋体" w:hAnsi="宋体" w:eastAsia="宋体" w:cs="宋体"/>
                <w:sz w:val="20"/>
                <w:szCs w:val="20"/>
              </w:rPr>
              <w:t>行政执法</w:t>
            </w:r>
          </w:p>
        </w:tc>
        <w:tc>
          <w:tcPr>
            <w:tcW w:w="5812" w:type="dxa"/>
            <w:noWrap w:val="0"/>
            <w:vAlign w:val="center"/>
          </w:tcPr>
          <w:p w14:paraId="13A05455">
            <w:pPr>
              <w:rPr>
                <w:rFonts w:hint="eastAsia" w:ascii="宋体" w:hAnsi="宋体" w:eastAsia="宋体" w:cs="宋体"/>
                <w:sz w:val="20"/>
                <w:szCs w:val="20"/>
              </w:rPr>
            </w:pPr>
            <w:r>
              <w:rPr>
                <w:rFonts w:hint="eastAsia" w:ascii="宋体" w:hAnsi="宋体" w:eastAsia="宋体" w:cs="宋体"/>
                <w:sz w:val="20"/>
                <w:szCs w:val="20"/>
              </w:rPr>
              <w:t>主要业务功能包括冻结、解冻、扣划、单位催缴、单位催建、执法人员管理、黑名单管理、贷款逾期黑名单、个人冻结。</w:t>
            </w:r>
          </w:p>
          <w:p w14:paraId="65AA1012">
            <w:pPr>
              <w:rPr>
                <w:rFonts w:hint="eastAsia" w:ascii="宋体" w:hAnsi="宋体" w:eastAsia="宋体" w:cs="宋体"/>
                <w:sz w:val="20"/>
                <w:szCs w:val="20"/>
              </w:rPr>
            </w:pPr>
            <w:r>
              <w:rPr>
                <w:rFonts w:hint="eastAsia" w:ascii="宋体" w:hAnsi="宋体" w:eastAsia="宋体" w:cs="宋体"/>
                <w:sz w:val="20"/>
                <w:szCs w:val="20"/>
              </w:rPr>
              <w:t>★必须在现有系统框架、系统设计、数据库库表结构基础上进行开发运维服务。</w:t>
            </w:r>
          </w:p>
        </w:tc>
      </w:tr>
    </w:tbl>
    <w:p w14:paraId="0CEDC4A0">
      <w:pPr>
        <w:spacing w:line="360" w:lineRule="auto"/>
        <w:ind w:firstLine="420" w:firstLineChars="200"/>
        <w:rPr>
          <w:rFonts w:hint="eastAsia" w:ascii="宋体" w:hAnsi="宋体" w:cs="宋体"/>
          <w:szCs w:val="21"/>
        </w:rPr>
      </w:pPr>
      <w:bookmarkStart w:id="13" w:name="_GoBack"/>
      <w:bookmarkEnd w:id="13"/>
    </w:p>
    <w:p w14:paraId="2841DE64">
      <w:pPr>
        <w:spacing w:line="360" w:lineRule="auto"/>
        <w:ind w:firstLine="420" w:firstLineChars="200"/>
        <w:rPr>
          <w:rFonts w:hint="eastAsia" w:ascii="宋体" w:hAnsi="宋体" w:cs="宋体"/>
          <w:szCs w:val="21"/>
        </w:rPr>
      </w:pPr>
      <w:r>
        <w:rPr>
          <w:rFonts w:hint="eastAsia" w:ascii="宋体" w:hAnsi="宋体" w:cs="宋体"/>
          <w:szCs w:val="21"/>
        </w:rPr>
        <w:t>运维服务：基础软件维护服务、应用软件服务、数据管理运维服务、业务系统安全提升服务（如依照等保三级要求进行业务系统安全加固，使用https访问等）。</w:t>
      </w:r>
    </w:p>
    <w:p w14:paraId="16A49146">
      <w:pPr>
        <w:spacing w:line="360" w:lineRule="auto"/>
        <w:ind w:firstLine="420" w:firstLineChars="200"/>
        <w:rPr>
          <w:rFonts w:hint="eastAsia" w:ascii="宋体" w:hAnsi="宋体" w:cs="宋体"/>
          <w:szCs w:val="21"/>
        </w:rPr>
      </w:pPr>
      <w:r>
        <w:rPr>
          <w:rFonts w:hint="eastAsia" w:ascii="宋体" w:hAnsi="宋体" w:cs="宋体"/>
          <w:szCs w:val="21"/>
        </w:rPr>
        <w:t>服务期内服务范围包括：</w:t>
      </w:r>
    </w:p>
    <w:p w14:paraId="00B3239C">
      <w:pPr>
        <w:spacing w:line="360" w:lineRule="auto"/>
        <w:ind w:firstLine="420" w:firstLineChars="200"/>
        <w:rPr>
          <w:rFonts w:hint="eastAsia" w:ascii="宋体" w:hAnsi="宋体" w:cs="宋体"/>
          <w:szCs w:val="21"/>
        </w:rPr>
      </w:pPr>
      <w:r>
        <w:rPr>
          <w:rFonts w:hint="eastAsia" w:ascii="宋体" w:hAnsi="宋体" w:cs="宋体"/>
          <w:szCs w:val="21"/>
        </w:rPr>
        <w:t>1、服务范围包括：现有功能需求、设计、开发、测试、BUG修复、驻场运维服务、巡检、特殊事项及重大事项的专家现场服务指导。</w:t>
      </w:r>
    </w:p>
    <w:p w14:paraId="0981DCF3">
      <w:pPr>
        <w:spacing w:line="360" w:lineRule="auto"/>
        <w:ind w:firstLine="420" w:firstLineChars="200"/>
        <w:rPr>
          <w:rFonts w:hint="eastAsia" w:ascii="宋体" w:hAnsi="宋体" w:cs="宋体"/>
          <w:szCs w:val="21"/>
        </w:rPr>
      </w:pPr>
      <w:r>
        <w:rPr>
          <w:rFonts w:hint="eastAsia" w:ascii="宋体" w:hAnsi="宋体" w:cs="宋体"/>
          <w:szCs w:val="21"/>
        </w:rPr>
        <w:t>2、国家、省、市各级政府出台新政策以及采购方现有系统不能满足服务需求，需要对现有信息系统进行整体升级或系统优化均属于服务内容。</w:t>
      </w:r>
    </w:p>
    <w:p w14:paraId="70DF47E8">
      <w:pPr>
        <w:widowControl/>
        <w:jc w:val="left"/>
      </w:pPr>
      <w:r>
        <w:rPr>
          <w:rFonts w:ascii="宋体" w:hAnsi="宋体" w:cs="宋体"/>
          <w:b/>
          <w:bCs/>
          <w:color w:val="000000"/>
          <w:kern w:val="0"/>
          <w:sz w:val="24"/>
          <w:lang w:bidi="ar"/>
        </w:rPr>
        <w:t xml:space="preserve">七、质量保证 </w:t>
      </w:r>
    </w:p>
    <w:p w14:paraId="66123EA9">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1、服务方案和方式科学、可行，人员配置合理，全面满足招标文件要求。 </w:t>
      </w:r>
    </w:p>
    <w:p w14:paraId="23AD9CA3">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2、符合国家有关服务规范要求，确保各项系统达到最佳运行状态。 </w:t>
      </w:r>
    </w:p>
    <w:p w14:paraId="48DA7C62">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3、乙方提供的服务，若因发生侵权而产生的一切后果，由乙方负责。甲方保留索赔权力。 </w:t>
      </w:r>
    </w:p>
    <w:p w14:paraId="06391022">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4、</w:t>
      </w:r>
      <w:r>
        <w:rPr>
          <w:rFonts w:hint="eastAsia" w:ascii="宋体" w:hAnsi="宋体" w:cs="宋体"/>
          <w:szCs w:val="21"/>
        </w:rPr>
        <w:t>系统维保服务响应时间：半小时内做出响应，三小时内排除故障，恢复系统运行。</w:t>
      </w:r>
      <w:r>
        <w:rPr>
          <w:rFonts w:ascii="宋体" w:hAnsi="宋体" w:cs="宋体"/>
          <w:color w:val="000000"/>
          <w:kern w:val="0"/>
          <w:szCs w:val="21"/>
          <w:lang w:bidi="ar"/>
        </w:rPr>
        <w:t xml:space="preserve"> </w:t>
      </w:r>
    </w:p>
    <w:p w14:paraId="3E7F6D0C">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5、</w:t>
      </w:r>
      <w:r>
        <w:rPr>
          <w:rFonts w:hint="eastAsia" w:ascii="宋体" w:hAnsi="宋体" w:cs="宋体"/>
          <w:color w:val="000000"/>
          <w:kern w:val="0"/>
          <w:szCs w:val="21"/>
          <w:lang w:bidi="ar"/>
        </w:rPr>
        <w:t>投入工程师</w:t>
      </w:r>
      <w:r>
        <w:rPr>
          <w:rFonts w:ascii="宋体" w:hAnsi="宋体" w:cs="宋体"/>
          <w:color w:val="000000"/>
          <w:kern w:val="0"/>
          <w:szCs w:val="21"/>
          <w:lang w:bidi="ar"/>
        </w:rPr>
        <w:t>不少于五</w:t>
      </w:r>
      <w:r>
        <w:rPr>
          <w:rFonts w:hint="eastAsia" w:ascii="宋体" w:hAnsi="宋体" w:cs="宋体"/>
          <w:color w:val="000000"/>
          <w:kern w:val="0"/>
          <w:szCs w:val="21"/>
          <w:lang w:bidi="ar"/>
        </w:rPr>
        <w:t>名（</w:t>
      </w:r>
      <w:r>
        <w:rPr>
          <w:rFonts w:hint="eastAsia" w:ascii="宋体" w:hAnsi="宋体" w:cs="宋体"/>
          <w:szCs w:val="21"/>
        </w:rPr>
        <w:t>人员需经接受甲方同意</w:t>
      </w:r>
      <w:r>
        <w:rPr>
          <w:rFonts w:hint="eastAsia" w:ascii="宋体" w:hAnsi="宋体" w:cs="宋体"/>
          <w:color w:val="000000"/>
          <w:kern w:val="0"/>
          <w:szCs w:val="21"/>
          <w:lang w:bidi="ar"/>
        </w:rPr>
        <w:t>）</w:t>
      </w:r>
      <w:r>
        <w:rPr>
          <w:rFonts w:ascii="宋体" w:hAnsi="宋体" w:cs="宋体"/>
          <w:color w:val="000000"/>
          <w:kern w:val="0"/>
          <w:szCs w:val="21"/>
          <w:lang w:bidi="ar"/>
        </w:rPr>
        <w:t>。 指定专人作为负责人与甲方就项目事宜对接、协调，项目维保过程中一旦出现重大问 题，项目总负责人应能及时赶到现场。乙方更换项目负责人和主要技术人员，须将变更人及时变更对工作可能产生的影响、替换人资历等情况以书面材料报告甲方审核，经同意后方可更换。因乙方的人员变更原因所造成的任何项目质量、进度滞后的后果，由乙方承担。乙方在项目</w:t>
      </w:r>
      <w:r>
        <w:rPr>
          <w:rFonts w:hint="eastAsia" w:ascii="宋体" w:hAnsi="宋体" w:cs="宋体"/>
          <w:color w:val="000000"/>
          <w:kern w:val="0"/>
          <w:szCs w:val="21"/>
          <w:lang w:bidi="ar"/>
        </w:rPr>
        <w:t>实</w:t>
      </w:r>
      <w:r>
        <w:rPr>
          <w:rFonts w:ascii="宋体" w:hAnsi="宋体" w:cs="宋体"/>
          <w:color w:val="000000"/>
          <w:kern w:val="0"/>
          <w:szCs w:val="21"/>
          <w:lang w:bidi="ar"/>
        </w:rPr>
        <w:t xml:space="preserve">施过程中，质量保障人员、资源不足或者执行不力，给项目质量带来的风险超出甲方认定的允许范围时，甲方可中止本项目的合作并进行索赔。 </w:t>
      </w:r>
    </w:p>
    <w:p w14:paraId="20E2EE02">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6、驻场运维人员应遵守中心的办公时间，每日填写运维日志，每月提交巡检报告，请假需经公司同意后再报中心审批同意，运维人员变更需提交书面申请经中心同意，运维人员沟通表达清晰明确，举止端庄、态度得体，不得造成投诉，以上各项要求累计违反每满三次扣除维保费1‰，由采购方直接在合同尾款中扣除。</w:t>
      </w:r>
    </w:p>
    <w:p w14:paraId="2EFF6CB0">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7、重要系统开发工作，应在需求确定时与采购方协商，明确开发周期。因投标人原因（包括但不限于预估时间不足、开发测试工作滞后等）造成延误的，每延误三天扣除维保费1‰（不足三天按三天算），由采购方直接在合同尾款中扣除。</w:t>
      </w:r>
    </w:p>
    <w:p w14:paraId="134F07E7">
      <w:pPr>
        <w:widowControl/>
        <w:spacing w:line="360" w:lineRule="auto"/>
        <w:ind w:firstLine="420" w:firstLineChars="200"/>
        <w:jc w:val="left"/>
        <w:rPr>
          <w:rFonts w:ascii="宋体" w:hAnsi="宋体" w:cs="宋体"/>
          <w:color w:val="000000"/>
          <w:kern w:val="0"/>
          <w:szCs w:val="21"/>
          <w:lang w:bidi="ar"/>
        </w:rPr>
      </w:pPr>
      <w:r>
        <w:rPr>
          <w:rFonts w:hint="eastAsia" w:ascii="宋体" w:hAnsi="宋体" w:cs="宋体"/>
          <w:color w:val="000000"/>
          <w:kern w:val="0"/>
          <w:szCs w:val="21"/>
          <w:lang w:bidi="ar"/>
        </w:rPr>
        <w:t>8、因对系统检查测试不到位以及其他人为、技术原因导致系统在业务时间内无法运行的，每小时扣除维保费1‰（不足一小时按一小时算），由采购方直接在合同尾款中扣除。</w:t>
      </w:r>
      <w:r>
        <w:rPr>
          <w:rFonts w:ascii="宋体" w:hAnsi="宋体" w:cs="宋体"/>
          <w:color w:val="000000"/>
          <w:kern w:val="0"/>
          <w:szCs w:val="21"/>
          <w:lang w:bidi="ar"/>
        </w:rPr>
        <w:t xml:space="preserve"> </w:t>
      </w:r>
    </w:p>
    <w:p w14:paraId="49775B94">
      <w:pPr>
        <w:widowControl/>
        <w:jc w:val="left"/>
      </w:pPr>
      <w:r>
        <w:rPr>
          <w:rFonts w:hint="eastAsia" w:ascii="宋体" w:hAnsi="宋体" w:cs="宋体"/>
          <w:b/>
          <w:bCs/>
          <w:color w:val="000000"/>
          <w:kern w:val="0"/>
          <w:sz w:val="28"/>
          <w:szCs w:val="28"/>
          <w:lang w:bidi="ar"/>
        </w:rPr>
        <w:t>八</w:t>
      </w:r>
      <w:r>
        <w:rPr>
          <w:rFonts w:ascii="宋体" w:hAnsi="宋体" w:cs="宋体"/>
          <w:b/>
          <w:bCs/>
          <w:color w:val="000000"/>
          <w:kern w:val="0"/>
          <w:sz w:val="28"/>
          <w:szCs w:val="28"/>
          <w:lang w:bidi="ar"/>
        </w:rPr>
        <w:t xml:space="preserve">、违约责任 </w:t>
      </w:r>
    </w:p>
    <w:p w14:paraId="0F33C8E6">
      <w:pPr>
        <w:widowControl/>
        <w:spacing w:line="360" w:lineRule="auto"/>
        <w:ind w:firstLine="420" w:firstLineChars="200"/>
        <w:jc w:val="left"/>
        <w:outlineLvl w:val="1"/>
        <w:rPr>
          <w:rFonts w:ascii="宋体" w:hAnsi="宋体" w:cs="宋体"/>
          <w:color w:val="000000"/>
          <w:kern w:val="0"/>
          <w:szCs w:val="21"/>
          <w:lang w:bidi="ar"/>
        </w:rPr>
      </w:pPr>
      <w:bookmarkStart w:id="9" w:name="_Toc1161129413"/>
      <w:r>
        <w:rPr>
          <w:rFonts w:ascii="宋体" w:hAnsi="宋体" w:cs="宋体"/>
          <w:color w:val="000000"/>
          <w:kern w:val="0"/>
          <w:szCs w:val="21"/>
          <w:lang w:bidi="ar"/>
        </w:rPr>
        <w:t>1、按《民法典》中的相关条款执行。</w:t>
      </w:r>
      <w:bookmarkEnd w:id="9"/>
      <w:r>
        <w:rPr>
          <w:rFonts w:ascii="宋体" w:hAnsi="宋体" w:cs="宋体"/>
          <w:color w:val="000000"/>
          <w:kern w:val="0"/>
          <w:szCs w:val="21"/>
          <w:lang w:bidi="ar"/>
        </w:rPr>
        <w:t xml:space="preserve"> </w:t>
      </w:r>
    </w:p>
    <w:p w14:paraId="596BD879">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2、未按合同要求提供服务或服务质量不能满足合同要求，甲方应当将乙方违约的情况以 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0B18CA6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3、在本合同履行过程中，双方因违约或造成对方经济、社会效益等损失的应当赔偿。 </w:t>
      </w:r>
    </w:p>
    <w:p w14:paraId="3F69286D">
      <w:pPr>
        <w:widowControl/>
        <w:jc w:val="left"/>
      </w:pPr>
      <w:r>
        <w:rPr>
          <w:rFonts w:hint="eastAsia" w:ascii="宋体" w:hAnsi="宋体" w:cs="宋体"/>
          <w:b/>
          <w:bCs/>
          <w:color w:val="000000"/>
          <w:kern w:val="0"/>
          <w:sz w:val="28"/>
          <w:szCs w:val="28"/>
          <w:lang w:bidi="ar"/>
        </w:rPr>
        <w:t>九</w:t>
      </w:r>
      <w:r>
        <w:rPr>
          <w:rFonts w:ascii="宋体" w:hAnsi="宋体" w:cs="宋体"/>
          <w:b/>
          <w:bCs/>
          <w:color w:val="000000"/>
          <w:kern w:val="0"/>
          <w:sz w:val="28"/>
          <w:szCs w:val="28"/>
          <w:lang w:bidi="ar"/>
        </w:rPr>
        <w:t>、</w:t>
      </w:r>
      <w:r>
        <w:rPr>
          <w:rFonts w:hint="eastAsia" w:ascii="宋体" w:hAnsi="宋体" w:cs="宋体"/>
          <w:b/>
          <w:bCs/>
          <w:color w:val="000000"/>
          <w:kern w:val="0"/>
          <w:sz w:val="28"/>
          <w:szCs w:val="28"/>
          <w:lang w:bidi="ar"/>
        </w:rPr>
        <w:t>履约</w:t>
      </w:r>
      <w:r>
        <w:rPr>
          <w:rFonts w:ascii="宋体" w:hAnsi="宋体" w:cs="宋体"/>
          <w:b/>
          <w:bCs/>
          <w:color w:val="000000"/>
          <w:kern w:val="0"/>
          <w:sz w:val="28"/>
          <w:szCs w:val="28"/>
          <w:lang w:bidi="ar"/>
        </w:rPr>
        <w:t xml:space="preserve">验收 </w:t>
      </w:r>
    </w:p>
    <w:p w14:paraId="38EEAB9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1、维保期满后，甲方根据公开招标采购文件和公开招标采购响应文件等相关文件，</w:t>
      </w:r>
      <w:r>
        <w:rPr>
          <w:rFonts w:ascii="宋体" w:hAnsi="宋体" w:cs="宋体"/>
          <w:color w:val="000000"/>
          <w:kern w:val="0"/>
          <w:sz w:val="24"/>
          <w:lang w:bidi="ar"/>
        </w:rPr>
        <w:t>进</w:t>
      </w:r>
      <w:r>
        <w:rPr>
          <w:rFonts w:ascii="宋体" w:hAnsi="宋体" w:cs="宋体"/>
          <w:color w:val="000000"/>
          <w:kern w:val="0"/>
          <w:szCs w:val="21"/>
          <w:lang w:bidi="ar"/>
        </w:rPr>
        <w:t xml:space="preserve">行验收，确认服务标准和服务方式是否达到采购要求。 </w:t>
      </w:r>
    </w:p>
    <w:p w14:paraId="3F6DEE03">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2、所验产品及服务的指标、性能参数通过验收达不到公开招标采购文件要求和公开招标采购响应文件承诺，或在使用中发现甲方不能容忍的缺陷等，将视为验收不合格，乙方应及时纠正或承担相应赔偿责任。</w:t>
      </w:r>
    </w:p>
    <w:p w14:paraId="2133E6CA">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3、维保期满后，由乙方进行自检，准备验收文件，并书面通知甲方。 </w:t>
      </w:r>
    </w:p>
    <w:p w14:paraId="2A457B5F">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4、甲方确认乙方的自检内容后，组织乙方（必要时请有关专家）进行系统验收，验收合格后，填写西安市市级单位政府采购中心项目验收单（一式伍份）作为对服务的最终认可。</w:t>
      </w:r>
    </w:p>
    <w:p w14:paraId="7898754E">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5、乙方向甲方提交服务实施过程中的所有资料。以便甲方日后管理和维护。 </w:t>
      </w:r>
    </w:p>
    <w:p w14:paraId="0462D711">
      <w:pPr>
        <w:widowControl/>
        <w:spacing w:line="360" w:lineRule="auto"/>
        <w:ind w:firstLine="420" w:firstLineChars="200"/>
        <w:jc w:val="left"/>
        <w:outlineLvl w:val="1"/>
        <w:rPr>
          <w:rFonts w:ascii="宋体" w:hAnsi="宋体" w:cs="宋体"/>
          <w:color w:val="000000"/>
          <w:kern w:val="0"/>
          <w:szCs w:val="21"/>
          <w:lang w:bidi="ar"/>
        </w:rPr>
      </w:pPr>
      <w:bookmarkStart w:id="10" w:name="_Toc918144002"/>
      <w:r>
        <w:rPr>
          <w:rFonts w:ascii="宋体" w:hAnsi="宋体" w:cs="宋体"/>
          <w:color w:val="000000"/>
          <w:kern w:val="0"/>
          <w:szCs w:val="21"/>
          <w:lang w:bidi="ar"/>
        </w:rPr>
        <w:t>6、验收依据：</w:t>
      </w:r>
      <w:bookmarkEnd w:id="10"/>
      <w:r>
        <w:rPr>
          <w:rFonts w:ascii="宋体" w:hAnsi="宋体" w:cs="宋体"/>
          <w:color w:val="000000"/>
          <w:kern w:val="0"/>
          <w:szCs w:val="21"/>
          <w:lang w:bidi="ar"/>
        </w:rPr>
        <w:t xml:space="preserve"> </w:t>
      </w:r>
    </w:p>
    <w:p w14:paraId="65F7C36F">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6-1、公开招标采购文件、公开招标采购响应文件、澄清表（函）； </w:t>
      </w:r>
    </w:p>
    <w:p w14:paraId="53B7D775">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6-2、本合同及附件文本； </w:t>
      </w:r>
    </w:p>
    <w:p w14:paraId="6E8A4370">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6-3、合同签订时国家及行业现行的标准和技术规范。 </w:t>
      </w:r>
    </w:p>
    <w:p w14:paraId="5F18AFAB">
      <w:pPr>
        <w:widowControl/>
        <w:jc w:val="left"/>
      </w:pPr>
      <w:r>
        <w:rPr>
          <w:rFonts w:ascii="宋体" w:hAnsi="宋体" w:cs="宋体"/>
          <w:b/>
          <w:bCs/>
          <w:color w:val="000000"/>
          <w:kern w:val="0"/>
          <w:sz w:val="28"/>
          <w:szCs w:val="28"/>
          <w:lang w:bidi="ar"/>
        </w:rPr>
        <w:t>十、保密条款</w:t>
      </w:r>
    </w:p>
    <w:p w14:paraId="1B7B9F6F">
      <w:pPr>
        <w:widowControl/>
        <w:spacing w:line="360" w:lineRule="auto"/>
        <w:ind w:firstLine="420" w:firstLineChars="200"/>
        <w:jc w:val="left"/>
        <w:outlineLvl w:val="1"/>
        <w:rPr>
          <w:rFonts w:hint="eastAsia" w:ascii="宋体" w:hAnsi="宋体" w:cs="宋体"/>
          <w:color w:val="000000"/>
          <w:kern w:val="0"/>
          <w:szCs w:val="21"/>
          <w:lang w:bidi="ar"/>
        </w:rPr>
      </w:pPr>
      <w:bookmarkStart w:id="11" w:name="_Toc1576237919"/>
      <w:r>
        <w:rPr>
          <w:rFonts w:hint="eastAsia" w:ascii="宋体" w:hAnsi="宋体" w:cs="宋体"/>
          <w:color w:val="000000"/>
          <w:kern w:val="0"/>
          <w:szCs w:val="21"/>
          <w:lang w:bidi="ar"/>
        </w:rPr>
        <w:t>1、甲方：</w:t>
      </w:r>
      <w:bookmarkEnd w:id="11"/>
      <w:r>
        <w:rPr>
          <w:rFonts w:hint="eastAsia" w:ascii="宋体" w:hAnsi="宋体" w:cs="宋体"/>
          <w:color w:val="000000"/>
          <w:kern w:val="0"/>
          <w:szCs w:val="21"/>
          <w:lang w:bidi="ar"/>
        </w:rPr>
        <w:t xml:space="preserve"> </w:t>
      </w:r>
    </w:p>
    <w:p w14:paraId="41D14FFA">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（1）保密内容（包括技术信息和经营信息）：乙方在维护过程中提供的一切技术资料。但不包括甲方取得知识产权的系统资料、源代码等； </w:t>
      </w:r>
    </w:p>
    <w:p w14:paraId="0040B64B">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（2）涉密人员范围：甲方所有接触到相关资料的人员； </w:t>
      </w:r>
    </w:p>
    <w:p w14:paraId="041A719A">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（3）保密期限：为系统维护期间和系统维护完成后的任何时间，同时不论本合同是否变更、解除、终止，本条款均有效； </w:t>
      </w:r>
    </w:p>
    <w:p w14:paraId="5FC6F17C">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（4）泄密责任：如甲方将以上规定的保密内容泄漏给第三方，乙方有权要求赔偿损失或保留其它权利。 </w:t>
      </w:r>
    </w:p>
    <w:p w14:paraId="5A250B80">
      <w:pPr>
        <w:widowControl/>
        <w:spacing w:line="360" w:lineRule="auto"/>
        <w:ind w:firstLine="420" w:firstLineChars="200"/>
        <w:jc w:val="left"/>
        <w:outlineLvl w:val="1"/>
        <w:rPr>
          <w:rFonts w:hint="eastAsia" w:ascii="宋体" w:hAnsi="宋体" w:cs="宋体"/>
          <w:color w:val="000000"/>
          <w:kern w:val="0"/>
          <w:szCs w:val="21"/>
          <w:lang w:bidi="ar"/>
        </w:rPr>
      </w:pPr>
      <w:bookmarkStart w:id="12" w:name="_Toc472435241"/>
      <w:r>
        <w:rPr>
          <w:rFonts w:hint="eastAsia" w:ascii="宋体" w:hAnsi="宋体" w:cs="宋体"/>
          <w:color w:val="000000"/>
          <w:kern w:val="0"/>
          <w:szCs w:val="21"/>
          <w:lang w:bidi="ar"/>
        </w:rPr>
        <w:t>2、乙方：</w:t>
      </w:r>
      <w:bookmarkEnd w:id="12"/>
      <w:r>
        <w:rPr>
          <w:rFonts w:hint="eastAsia" w:ascii="宋体" w:hAnsi="宋体" w:cs="宋体"/>
          <w:color w:val="000000"/>
          <w:kern w:val="0"/>
          <w:szCs w:val="21"/>
          <w:lang w:bidi="ar"/>
        </w:rPr>
        <w:t xml:space="preserve"> </w:t>
      </w:r>
    </w:p>
    <w:p w14:paraId="06DD6B65">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（1）保密内容（包括技术信息和经营信息）：乙方在系统维护期间所获得的甲方的数据和资料（含业务资料和技术资料），项目完成后甲方取得知识产权的系统资料、源代码等； </w:t>
      </w:r>
    </w:p>
    <w:p w14:paraId="608D3120">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（2）涉密人员范围：乙方所有接触到相关资料和信息的技术人员和管理人员； </w:t>
      </w:r>
    </w:p>
    <w:p w14:paraId="4846D1EE">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（3）保密期限：为系统维护期间和系统维护完成后的任何时间，同时不论本合同是否变更、解除、终止，本条款均有效； </w:t>
      </w:r>
    </w:p>
    <w:p w14:paraId="32D57A48">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（4）泄密责任：由于乙方或乙方所有涉密人员原因造成保密内容泄漏，乙方应承担由此造成的泄漏责任，且甲方有权终止本合同。同时甲方有权要求赔偿并保留其它权利。 </w:t>
      </w:r>
    </w:p>
    <w:p w14:paraId="2DD3CEE6">
      <w:pPr>
        <w:widowControl/>
        <w:jc w:val="left"/>
      </w:pPr>
      <w:r>
        <w:rPr>
          <w:rFonts w:ascii="宋体" w:hAnsi="宋体" w:cs="宋体"/>
          <w:b/>
          <w:bCs/>
          <w:color w:val="000000"/>
          <w:kern w:val="0"/>
          <w:sz w:val="28"/>
          <w:szCs w:val="28"/>
          <w:lang w:bidi="ar"/>
        </w:rPr>
        <w:t>十</w:t>
      </w:r>
      <w:r>
        <w:rPr>
          <w:rFonts w:hint="eastAsia" w:ascii="宋体" w:hAnsi="宋体" w:cs="宋体"/>
          <w:b/>
          <w:bCs/>
          <w:color w:val="000000"/>
          <w:kern w:val="0"/>
          <w:sz w:val="28"/>
          <w:szCs w:val="28"/>
          <w:lang w:bidi="ar"/>
        </w:rPr>
        <w:t>一</w:t>
      </w:r>
      <w:r>
        <w:rPr>
          <w:rFonts w:ascii="宋体" w:hAnsi="宋体" w:cs="宋体"/>
          <w:b/>
          <w:bCs/>
          <w:color w:val="000000"/>
          <w:kern w:val="0"/>
          <w:sz w:val="28"/>
          <w:szCs w:val="28"/>
          <w:lang w:bidi="ar"/>
        </w:rPr>
        <w:t xml:space="preserve">、争议解决 </w:t>
      </w:r>
    </w:p>
    <w:p w14:paraId="402D2BC3">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（一）本合同在履行过程中发生的争议，由甲、乙双方当事人协商解决；协商或调解不成的按下列第（二）种方式解决； </w:t>
      </w:r>
    </w:p>
    <w:p w14:paraId="61810F70">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1、提交西安仲裁委员会仲裁； </w:t>
      </w:r>
    </w:p>
    <w:p w14:paraId="1A1D1BE0">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2、依法向甲方所在地人民法院起诉。 </w:t>
      </w:r>
    </w:p>
    <w:p w14:paraId="7BF49B81">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（二）本条款为独立条款，本合同的无效、变更、解除和终止均不影响本条款的效力。 </w:t>
      </w:r>
    </w:p>
    <w:p w14:paraId="752B173B">
      <w:pPr>
        <w:widowControl/>
        <w:jc w:val="left"/>
        <w:rPr>
          <w:rFonts w:ascii="宋体" w:hAnsi="宋体" w:cs="宋体"/>
          <w:b/>
          <w:bCs/>
          <w:color w:val="000000"/>
          <w:kern w:val="0"/>
          <w:sz w:val="28"/>
          <w:szCs w:val="28"/>
          <w:lang w:bidi="ar"/>
        </w:rPr>
      </w:pPr>
      <w:r>
        <w:rPr>
          <w:rFonts w:ascii="宋体" w:hAnsi="宋体" w:cs="宋体"/>
          <w:b/>
          <w:bCs/>
          <w:color w:val="000000"/>
          <w:kern w:val="0"/>
          <w:sz w:val="28"/>
          <w:szCs w:val="28"/>
          <w:lang w:bidi="ar"/>
        </w:rPr>
        <w:t>十</w:t>
      </w:r>
      <w:r>
        <w:rPr>
          <w:rFonts w:hint="eastAsia" w:ascii="宋体" w:hAnsi="宋体" w:cs="宋体"/>
          <w:b/>
          <w:bCs/>
          <w:color w:val="000000"/>
          <w:kern w:val="0"/>
          <w:sz w:val="28"/>
          <w:szCs w:val="28"/>
          <w:lang w:bidi="ar"/>
        </w:rPr>
        <w:t>二</w:t>
      </w:r>
      <w:r>
        <w:rPr>
          <w:rFonts w:ascii="宋体" w:hAnsi="宋体" w:cs="宋体"/>
          <w:b/>
          <w:bCs/>
          <w:color w:val="000000"/>
          <w:kern w:val="0"/>
          <w:sz w:val="28"/>
          <w:szCs w:val="28"/>
          <w:lang w:bidi="ar"/>
        </w:rPr>
        <w:t xml:space="preserve">、合同变更 </w:t>
      </w:r>
    </w:p>
    <w:p w14:paraId="2C92C96A">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5AB64BBB">
      <w:pPr>
        <w:widowControl/>
        <w:jc w:val="left"/>
        <w:rPr>
          <w:rFonts w:ascii="宋体" w:hAnsi="宋体" w:cs="宋体"/>
          <w:b/>
          <w:bCs/>
          <w:color w:val="000000"/>
          <w:kern w:val="0"/>
          <w:sz w:val="28"/>
          <w:szCs w:val="28"/>
          <w:lang w:bidi="ar"/>
        </w:rPr>
      </w:pPr>
      <w:r>
        <w:rPr>
          <w:rFonts w:ascii="宋体" w:hAnsi="宋体" w:cs="宋体"/>
          <w:b/>
          <w:bCs/>
          <w:color w:val="000000"/>
          <w:kern w:val="0"/>
          <w:sz w:val="28"/>
          <w:szCs w:val="28"/>
          <w:lang w:bidi="ar"/>
        </w:rPr>
        <w:t>十</w:t>
      </w:r>
      <w:r>
        <w:rPr>
          <w:rFonts w:hint="eastAsia" w:ascii="宋体" w:hAnsi="宋体" w:cs="宋体"/>
          <w:b/>
          <w:bCs/>
          <w:color w:val="000000"/>
          <w:kern w:val="0"/>
          <w:sz w:val="28"/>
          <w:szCs w:val="28"/>
          <w:lang w:bidi="ar"/>
        </w:rPr>
        <w:t>三</w:t>
      </w:r>
      <w:r>
        <w:rPr>
          <w:rFonts w:ascii="宋体" w:hAnsi="宋体" w:cs="宋体"/>
          <w:b/>
          <w:bCs/>
          <w:color w:val="000000"/>
          <w:kern w:val="0"/>
          <w:sz w:val="28"/>
          <w:szCs w:val="28"/>
          <w:lang w:bidi="ar"/>
        </w:rPr>
        <w:t xml:space="preserve">、合同生效 </w:t>
      </w:r>
    </w:p>
    <w:p w14:paraId="291E1331">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 xml:space="preserve">本合同一式捌份，甲方持两份，乙方持两份，鉴证方持壹份，西安市财政局政府采购管理处备案叁份，本合同甲、乙、鉴证各方签字盖章后生效，合同执行完毕后，自动终止（保密条款等之类合同的服务承诺则长期有效）。 </w:t>
      </w:r>
    </w:p>
    <w:p w14:paraId="7DF84106">
      <w:pPr>
        <w:widowControl/>
        <w:jc w:val="left"/>
      </w:pPr>
      <w:r>
        <w:rPr>
          <w:rFonts w:ascii="宋体" w:hAnsi="宋体" w:cs="宋体"/>
          <w:b/>
          <w:bCs/>
          <w:color w:val="000000"/>
          <w:kern w:val="0"/>
          <w:sz w:val="28"/>
          <w:szCs w:val="28"/>
          <w:lang w:bidi="ar"/>
        </w:rPr>
        <w:t>十</w:t>
      </w:r>
      <w:r>
        <w:rPr>
          <w:rFonts w:hint="eastAsia" w:ascii="宋体" w:hAnsi="宋体" w:cs="宋体"/>
          <w:b/>
          <w:bCs/>
          <w:color w:val="000000"/>
          <w:kern w:val="0"/>
          <w:sz w:val="28"/>
          <w:szCs w:val="28"/>
          <w:lang w:bidi="ar"/>
        </w:rPr>
        <w:t>四</w:t>
      </w:r>
      <w:r>
        <w:rPr>
          <w:rFonts w:ascii="宋体" w:hAnsi="宋体" w:cs="宋体"/>
          <w:b/>
          <w:bCs/>
          <w:color w:val="000000"/>
          <w:kern w:val="0"/>
          <w:sz w:val="28"/>
          <w:szCs w:val="28"/>
          <w:lang w:bidi="ar"/>
        </w:rPr>
        <w:t xml:space="preserve">、其他事项 </w:t>
      </w:r>
    </w:p>
    <w:p w14:paraId="10A265EA">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（一）鉴证方作为采购代理机构对合同进行确认。 </w:t>
      </w:r>
    </w:p>
    <w:p w14:paraId="33E9AF29">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（二）西安市财政局政府采购管理处在合同的履行期间以及履行期后，可以随时检查项目的执行情况，对采购标准、采购内容进行调查核实，并对发现的问题进行处理。 </w:t>
      </w:r>
    </w:p>
    <w:p w14:paraId="7C38C666">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（三）公开招标采购文件、公开招标采购投标文件、澄清表（函）、中标通知书、合同附件均成为合同不可分割的部分。 </w:t>
      </w:r>
    </w:p>
    <w:p w14:paraId="2C5C2679">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（四）合同未尽事宜，由甲、乙双方协商并经鉴证方确认后签订政府采购补充。 </w:t>
      </w:r>
    </w:p>
    <w:p w14:paraId="5593A0CF">
      <w:pPr>
        <w:widowControl/>
        <w:jc w:val="left"/>
        <w:rPr>
          <w:rFonts w:hint="eastAsia" w:ascii="宋体" w:hAnsi="宋体" w:cs="宋体"/>
          <w:b/>
          <w:bCs/>
          <w:color w:val="000000"/>
          <w:kern w:val="0"/>
          <w:sz w:val="28"/>
          <w:szCs w:val="28"/>
          <w:lang w:bidi="ar"/>
        </w:rPr>
      </w:pPr>
      <w:r>
        <w:rPr>
          <w:rFonts w:hint="eastAsia" w:ascii="宋体" w:hAnsi="宋体" w:cs="宋体"/>
          <w:b/>
          <w:bCs/>
          <w:color w:val="000000"/>
          <w:kern w:val="0"/>
          <w:sz w:val="28"/>
          <w:szCs w:val="28"/>
          <w:lang w:bidi="ar"/>
        </w:rPr>
        <w:t>以下无正文内容</w:t>
      </w:r>
    </w:p>
    <w:p w14:paraId="6CA410C3">
      <w:pPr>
        <w:widowControl/>
        <w:jc w:val="left"/>
      </w:pPr>
      <w:r>
        <w:rPr>
          <w:rFonts w:hint="eastAsia" w:ascii="宋体" w:hAnsi="宋体" w:cs="宋体"/>
          <w:b/>
          <w:bCs/>
          <w:color w:val="000000"/>
          <w:kern w:val="0"/>
          <w:sz w:val="28"/>
          <w:szCs w:val="28"/>
          <w:lang w:bidi="ar"/>
        </w:rPr>
        <w:br w:type="page"/>
      </w:r>
    </w:p>
    <w:tbl>
      <w:tblPr>
        <w:tblStyle w:val="4"/>
        <w:tblW w:w="494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241"/>
        <w:gridCol w:w="3983"/>
      </w:tblGrid>
      <w:tr w14:paraId="3E9F08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0" w:hRule="atLeast"/>
          <w:jc w:val="center"/>
        </w:trPr>
        <w:tc>
          <w:tcPr>
            <w:tcW w:w="2578" w:type="pct"/>
            <w:noWrap w:val="0"/>
            <w:vAlign w:val="center"/>
          </w:tcPr>
          <w:p w14:paraId="11262AB9">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甲方</w:t>
            </w:r>
          </w:p>
        </w:tc>
        <w:tc>
          <w:tcPr>
            <w:tcW w:w="2421" w:type="pct"/>
            <w:noWrap w:val="0"/>
            <w:vAlign w:val="center"/>
          </w:tcPr>
          <w:p w14:paraId="3AB55436">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乙方</w:t>
            </w:r>
          </w:p>
        </w:tc>
      </w:tr>
      <w:tr w14:paraId="44442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7" w:hRule="atLeast"/>
          <w:jc w:val="center"/>
        </w:trPr>
        <w:tc>
          <w:tcPr>
            <w:tcW w:w="2578" w:type="pct"/>
            <w:noWrap w:val="0"/>
            <w:vAlign w:val="center"/>
          </w:tcPr>
          <w:p w14:paraId="62676AC3">
            <w:pPr>
              <w:widowControl/>
              <w:spacing w:line="360" w:lineRule="auto"/>
              <w:jc w:val="center"/>
              <w:rPr>
                <w:rFonts w:hint="eastAsia" w:ascii="宋体" w:hAnsi="宋体" w:cs="宋体"/>
                <w:color w:val="000000"/>
                <w:kern w:val="0"/>
                <w:szCs w:val="21"/>
                <w:lang w:bidi="ar"/>
              </w:rPr>
            </w:pPr>
            <w:r>
              <w:rPr>
                <w:rFonts w:hint="eastAsia" w:ascii="宋体" w:hAnsi="宋体" w:cs="宋体"/>
                <w:color w:val="000000"/>
                <w:kern w:val="0"/>
                <w:szCs w:val="21"/>
                <w:lang w:bidi="ar"/>
              </w:rPr>
              <w:t>西安住房公积金管理中心</w:t>
            </w:r>
          </w:p>
          <w:p w14:paraId="3647CF48">
            <w:pPr>
              <w:widowControl/>
              <w:spacing w:line="360" w:lineRule="auto"/>
              <w:jc w:val="center"/>
              <w:rPr>
                <w:rFonts w:hint="eastAsia" w:ascii="宋体" w:hAnsi="宋体" w:cs="宋体"/>
                <w:color w:val="000000"/>
                <w:kern w:val="0"/>
                <w:szCs w:val="21"/>
                <w:lang w:bidi="ar"/>
              </w:rPr>
            </w:pPr>
          </w:p>
          <w:p w14:paraId="49DA865B">
            <w:pPr>
              <w:widowControl/>
              <w:spacing w:line="360" w:lineRule="auto"/>
              <w:jc w:val="center"/>
              <w:rPr>
                <w:rFonts w:hint="eastAsia" w:ascii="宋体" w:hAnsi="宋体" w:cs="宋体"/>
                <w:color w:val="000000"/>
                <w:kern w:val="0"/>
                <w:szCs w:val="21"/>
                <w:lang w:bidi="ar"/>
              </w:rPr>
            </w:pPr>
          </w:p>
          <w:p w14:paraId="5753B36C">
            <w:pPr>
              <w:pStyle w:val="2"/>
              <w:rPr>
                <w:rFonts w:hint="eastAsia"/>
              </w:rPr>
            </w:pPr>
          </w:p>
          <w:p w14:paraId="19CEF7E5">
            <w:pPr>
              <w:widowControl/>
              <w:spacing w:line="360" w:lineRule="auto"/>
              <w:jc w:val="center"/>
              <w:rPr>
                <w:rFonts w:hint="eastAsia" w:ascii="宋体" w:hAnsi="宋体" w:cs="宋体"/>
                <w:color w:val="000000"/>
                <w:kern w:val="0"/>
                <w:szCs w:val="21"/>
                <w:lang w:bidi="ar"/>
              </w:rPr>
            </w:pPr>
          </w:p>
          <w:p w14:paraId="03955EB1">
            <w:pPr>
              <w:widowControl/>
              <w:spacing w:line="360" w:lineRule="auto"/>
              <w:jc w:val="center"/>
              <w:rPr>
                <w:rFonts w:hint="eastAsia" w:ascii="宋体" w:hAnsi="宋体" w:cs="宋体"/>
                <w:color w:val="000000"/>
                <w:kern w:val="0"/>
                <w:szCs w:val="21"/>
                <w:lang w:bidi="ar"/>
              </w:rPr>
            </w:pPr>
            <w:r>
              <w:rPr>
                <w:rFonts w:hint="eastAsia" w:ascii="宋体" w:hAnsi="宋体" w:cs="宋体"/>
                <w:color w:val="000000"/>
                <w:kern w:val="0"/>
                <w:szCs w:val="21"/>
                <w:lang w:bidi="ar"/>
              </w:rPr>
              <w:t>(盖章)</w:t>
            </w:r>
          </w:p>
        </w:tc>
        <w:tc>
          <w:tcPr>
            <w:tcW w:w="2421" w:type="pct"/>
            <w:noWrap w:val="0"/>
            <w:vAlign w:val="center"/>
          </w:tcPr>
          <w:p w14:paraId="60590810">
            <w:pPr>
              <w:widowControl/>
              <w:spacing w:line="360" w:lineRule="auto"/>
              <w:jc w:val="center"/>
              <w:rPr>
                <w:rFonts w:hint="eastAsia" w:ascii="宋体" w:hAnsi="宋体" w:cs="宋体"/>
                <w:color w:val="000000"/>
                <w:kern w:val="0"/>
                <w:szCs w:val="21"/>
                <w:lang w:bidi="ar"/>
              </w:rPr>
            </w:pPr>
          </w:p>
        </w:tc>
      </w:tr>
      <w:tr w14:paraId="6D273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5" w:hRule="atLeast"/>
          <w:jc w:val="center"/>
        </w:trPr>
        <w:tc>
          <w:tcPr>
            <w:tcW w:w="2578" w:type="pct"/>
            <w:noWrap w:val="0"/>
            <w:vAlign w:val="center"/>
          </w:tcPr>
          <w:p w14:paraId="3C4D840E">
            <w:pPr>
              <w:widowControl/>
              <w:spacing w:line="360" w:lineRule="auto"/>
              <w:jc w:val="center"/>
              <w:rPr>
                <w:rFonts w:hint="eastAsia" w:ascii="宋体" w:hAnsi="宋体" w:cs="宋体"/>
                <w:color w:val="000000"/>
                <w:kern w:val="0"/>
                <w:szCs w:val="21"/>
                <w:lang w:bidi="ar"/>
              </w:rPr>
            </w:pPr>
            <w:r>
              <w:rPr>
                <w:rFonts w:hint="eastAsia" w:ascii="宋体" w:hAnsi="宋体" w:cs="宋体"/>
                <w:color w:val="000000"/>
                <w:kern w:val="0"/>
                <w:szCs w:val="21"/>
                <w:lang w:bidi="ar"/>
              </w:rPr>
              <w:t>地址：</w:t>
            </w:r>
            <w:r>
              <w:rPr>
                <w:rFonts w:hint="eastAsia" w:ascii="宋体" w:hAnsi="宋体" w:cs="宋体"/>
                <w:szCs w:val="21"/>
              </w:rPr>
              <w:t>西安市碑林区振兴路137号</w:t>
            </w:r>
          </w:p>
        </w:tc>
        <w:tc>
          <w:tcPr>
            <w:tcW w:w="2421" w:type="pct"/>
            <w:noWrap w:val="0"/>
            <w:vAlign w:val="center"/>
          </w:tcPr>
          <w:p w14:paraId="46682CA8">
            <w:pPr>
              <w:widowControl/>
              <w:spacing w:line="360" w:lineRule="auto"/>
              <w:ind w:firstLine="420" w:firstLineChars="200"/>
              <w:jc w:val="center"/>
              <w:rPr>
                <w:rFonts w:ascii="宋体" w:hAnsi="宋体" w:cs="宋体"/>
                <w:color w:val="000000"/>
                <w:kern w:val="0"/>
                <w:szCs w:val="21"/>
                <w:lang w:bidi="ar"/>
              </w:rPr>
            </w:pPr>
          </w:p>
        </w:tc>
      </w:tr>
      <w:tr w14:paraId="55429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1" w:hRule="atLeast"/>
          <w:jc w:val="center"/>
        </w:trPr>
        <w:tc>
          <w:tcPr>
            <w:tcW w:w="2578" w:type="pct"/>
            <w:noWrap w:val="0"/>
            <w:vAlign w:val="center"/>
          </w:tcPr>
          <w:p w14:paraId="2BF3A53E">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邮编：</w:t>
            </w:r>
          </w:p>
        </w:tc>
        <w:tc>
          <w:tcPr>
            <w:tcW w:w="2421" w:type="pct"/>
            <w:noWrap w:val="0"/>
            <w:vAlign w:val="center"/>
          </w:tcPr>
          <w:p w14:paraId="7C88E205">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邮编：</w:t>
            </w:r>
          </w:p>
        </w:tc>
      </w:tr>
      <w:tr w14:paraId="0C87A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jc w:val="center"/>
        </w:trPr>
        <w:tc>
          <w:tcPr>
            <w:tcW w:w="2578" w:type="pct"/>
            <w:noWrap w:val="0"/>
            <w:vAlign w:val="center"/>
          </w:tcPr>
          <w:p w14:paraId="6F14CA73">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法定代表人：</w:t>
            </w:r>
          </w:p>
        </w:tc>
        <w:tc>
          <w:tcPr>
            <w:tcW w:w="2421" w:type="pct"/>
            <w:noWrap w:val="0"/>
            <w:vAlign w:val="center"/>
          </w:tcPr>
          <w:p w14:paraId="134BAB41">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法定代表人：</w:t>
            </w:r>
          </w:p>
        </w:tc>
      </w:tr>
      <w:tr w14:paraId="25CD5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1" w:hRule="atLeast"/>
          <w:jc w:val="center"/>
        </w:trPr>
        <w:tc>
          <w:tcPr>
            <w:tcW w:w="2578" w:type="pct"/>
            <w:noWrap w:val="0"/>
            <w:vAlign w:val="center"/>
          </w:tcPr>
          <w:p w14:paraId="0AAAC2E5">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被授权代表：</w:t>
            </w:r>
          </w:p>
        </w:tc>
        <w:tc>
          <w:tcPr>
            <w:tcW w:w="2421" w:type="pct"/>
            <w:noWrap w:val="0"/>
            <w:vAlign w:val="center"/>
          </w:tcPr>
          <w:p w14:paraId="1065D763">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被授权代表：</w:t>
            </w:r>
          </w:p>
        </w:tc>
      </w:tr>
      <w:tr w14:paraId="32A91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jc w:val="center"/>
        </w:trPr>
        <w:tc>
          <w:tcPr>
            <w:tcW w:w="2578" w:type="pct"/>
            <w:noWrap w:val="0"/>
            <w:vAlign w:val="center"/>
          </w:tcPr>
          <w:p w14:paraId="01971587">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电话：</w:t>
            </w:r>
          </w:p>
        </w:tc>
        <w:tc>
          <w:tcPr>
            <w:tcW w:w="2421" w:type="pct"/>
            <w:noWrap w:val="0"/>
            <w:vAlign w:val="center"/>
          </w:tcPr>
          <w:p w14:paraId="10B94007">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电话：</w:t>
            </w:r>
          </w:p>
        </w:tc>
      </w:tr>
      <w:tr w14:paraId="79913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jc w:val="center"/>
        </w:trPr>
        <w:tc>
          <w:tcPr>
            <w:tcW w:w="2578" w:type="pct"/>
            <w:noWrap w:val="0"/>
            <w:vAlign w:val="center"/>
          </w:tcPr>
          <w:p w14:paraId="2F662E9C">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开户银行：</w:t>
            </w:r>
          </w:p>
        </w:tc>
        <w:tc>
          <w:tcPr>
            <w:tcW w:w="2421" w:type="pct"/>
            <w:noWrap w:val="0"/>
            <w:vAlign w:val="center"/>
          </w:tcPr>
          <w:p w14:paraId="4C32E6D4">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开户银行：</w:t>
            </w:r>
          </w:p>
        </w:tc>
      </w:tr>
      <w:tr w14:paraId="68F78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jc w:val="center"/>
        </w:trPr>
        <w:tc>
          <w:tcPr>
            <w:tcW w:w="2578" w:type="pct"/>
            <w:noWrap w:val="0"/>
            <w:vAlign w:val="center"/>
          </w:tcPr>
          <w:p w14:paraId="60A188BF">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账号：</w:t>
            </w:r>
          </w:p>
        </w:tc>
        <w:tc>
          <w:tcPr>
            <w:tcW w:w="2421" w:type="pct"/>
            <w:noWrap w:val="0"/>
            <w:vAlign w:val="center"/>
          </w:tcPr>
          <w:p w14:paraId="4419E1A9">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账号：</w:t>
            </w:r>
          </w:p>
        </w:tc>
      </w:tr>
      <w:tr w14:paraId="581FC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jc w:val="center"/>
        </w:trPr>
        <w:tc>
          <w:tcPr>
            <w:tcW w:w="2578" w:type="pct"/>
            <w:noWrap w:val="0"/>
            <w:vAlign w:val="center"/>
          </w:tcPr>
          <w:p w14:paraId="2939A616">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日期：    年   月   日</w:t>
            </w:r>
          </w:p>
        </w:tc>
        <w:tc>
          <w:tcPr>
            <w:tcW w:w="2421" w:type="pct"/>
            <w:noWrap w:val="0"/>
            <w:vAlign w:val="center"/>
          </w:tcPr>
          <w:p w14:paraId="2755AE61">
            <w:pPr>
              <w:widowControl/>
              <w:spacing w:line="360" w:lineRule="auto"/>
              <w:jc w:val="left"/>
              <w:rPr>
                <w:rFonts w:hint="eastAsia" w:ascii="宋体" w:hAnsi="宋体" w:cs="宋体"/>
                <w:color w:val="000000"/>
                <w:kern w:val="0"/>
                <w:szCs w:val="21"/>
                <w:lang w:bidi="ar"/>
              </w:rPr>
            </w:pPr>
            <w:r>
              <w:rPr>
                <w:rFonts w:hint="eastAsia" w:ascii="宋体" w:hAnsi="宋体" w:cs="宋体"/>
                <w:color w:val="000000"/>
                <w:kern w:val="0"/>
                <w:szCs w:val="21"/>
                <w:lang w:bidi="ar"/>
              </w:rPr>
              <w:t>日期：    年   月   日</w:t>
            </w:r>
          </w:p>
        </w:tc>
      </w:tr>
    </w:tbl>
    <w:p w14:paraId="4D97C7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1507A"/>
    <w:rsid w:val="6E4B4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b/>
      <w:sz w:val="28"/>
    </w:rPr>
  </w:style>
  <w:style w:type="paragraph" w:styleId="3">
    <w:name w:val="Body Text First Indent"/>
    <w:basedOn w:val="2"/>
    <w:qFormat/>
    <w:uiPriority w:val="0"/>
    <w:rPr>
      <w:rFonts w:hAnsi="宋体"/>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2025-08-11T14:25:31Z</dcterms:created>
  <dc:creator>Administrator</dc:creator>
  <cp:lastModifiedBy>花若怜°</cp:lastModifiedBy>
  <dcterms:modified xsi:type="dcterms:W3CDTF">2025-08-11T14:29:11Z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eyJoZGlkIjoiMDRhMWMzNzRkMzI5NzQ4NTc5ODlhNjQzNWMyMjNkM2MiLCJ1c2VySWQiOiIyNTc2ODQ5MzkifQ==</vt:lpwstr>
  </property>
  <property fmtid="{D5CDD505-2E9C-101B-9397-08002B2CF9AE}" pid="4" name="ICV">
    <vt:lpwstr>95C2CDE2CDE847E7B224998BDF959AF7_12</vt:lpwstr>
  </property>
</Properties>
</file>