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版本号：CT-ZB00-182-202520250811001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西安市中小学教师及校园长新教材实施能力提升培训项目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CT-ZB00-182-2025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西安市中小学教师及校园长新教材实施能力提升培训项目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CT-ZB00-182-2025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西安市中小学教师及校园长新教材实施能力提升培训项目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教育部关于全面实施学校美育浸润行动的通知》、《义务教育艺术课程标准（2022年版）》、陕西省《全面加强和改进新时代学校美育工作若干措施》等文件精神，紧扣“以美育浸润学生、浸润教师、浸润学校”的核心目标，积极响应国家“美育教学改革深化行动、教师美育素养提升行动、艺术实践活动普及行动”部署，立足西安市中小学音美学科教师教育教学中的实际问题，通过系统化、实践性培训，有效落实国家美育浸润行动要求，深化区域美育教学改革，培育高素质专业化美育师资队伍，推动构建富有西安文化特色、面向全体学生、育人成效显著的区域美育发展新生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采购包1（西安市中小学教师及校园长新教材实施能力提升培训项目）：属于专门面向中小企业采购。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计取（以成交金额结算）。 代理服务费缴纳账号： 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教育部关于全面实施学校美育浸润行动的通知》、《义务教育艺术课程标准（2022年版）》、陕西省《全面加强和改进新时代学校美育工作若干措施》等文件精神，紧扣“以美育浸润学生、浸润教师、浸润学校”的核心目标，积极响应国家“美育教学改革深化行动、教师美育素养提升行动、艺术实践活动普及行动”部署，立足西安市中小学音美学科教师教育教学中的实际问题，通过系统化、实践性培训，有效落实国家美育浸润行动要求，深化区域美育教学改革，培育高素质专业化美育师资队伍，推动构建富有西安文化特色、面向全体学生、育人成效显著的区域美育发展新生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西安市中小学教师及校园长新教材实施能力提升培训项目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标的名称：西安市中小学教师及校园长新教材实施能力提升培训项目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1.培训对象：西安市中小学教师及校园长</w:t>
            </w:r>
          </w:p>
          <w:p>
            <w:pPr>
              <w:pStyle w:val="null3"/>
            </w:pPr>
            <w:r>
              <w:rPr>
                <w:rFonts w:ascii="仿宋_GB2312" w:hAnsi="仿宋_GB2312" w:cs="仿宋_GB2312" w:eastAsia="仿宋_GB2312"/>
              </w:rPr>
              <w:t>2.培训人数：400人</w:t>
            </w:r>
          </w:p>
          <w:p>
            <w:pPr>
              <w:pStyle w:val="null3"/>
            </w:pPr>
            <w:r>
              <w:rPr>
                <w:rFonts w:ascii="仿宋_GB2312" w:hAnsi="仿宋_GB2312" w:cs="仿宋_GB2312" w:eastAsia="仿宋_GB2312"/>
              </w:rPr>
              <w:t>3.培训周期：3天集中</w:t>
            </w:r>
          </w:p>
          <w:p>
            <w:pPr>
              <w:pStyle w:val="null3"/>
            </w:pPr>
            <w:r>
              <w:rPr>
                <w:rFonts w:ascii="仿宋_GB2312" w:hAnsi="仿宋_GB2312" w:cs="仿宋_GB2312" w:eastAsia="仿宋_GB2312"/>
              </w:rPr>
              <w:t>4.培训内容：深入解读新教材的编写理念，如美术学科“大观念统领、任务驱动”“重视传统文化传承”，音乐学科“以美育人、以文化人”“强调艺术实践”等，明确新教材对学生审美素养、创新能力培养的目标导向。分学段梳理新教材的内容框架、单元设置、知识点编排逻辑，分析不同模块（如美术的造型表现、设计应用、欣赏评述；音乐的演唱、演奏、综合性艺术表演）的教学侧重点，帮助教师把握教材脉络。聚焦提升教师美育专业素养与教学实践能力，如：跨学科美育融合教学策略、西安本土文化资源在艺术课程中的开发与应用、数字化教学工具与多媒体资源在美育教学中的有效整合，全方位提升教师的美育教学能力，推动西安市中小学美育工作高质量发展。</w:t>
            </w:r>
          </w:p>
          <w:p>
            <w:pPr>
              <w:pStyle w:val="null3"/>
            </w:pPr>
            <w:r>
              <w:rPr>
                <w:rFonts w:ascii="仿宋_GB2312" w:hAnsi="仿宋_GB2312" w:cs="仿宋_GB2312" w:eastAsia="仿宋_GB2312"/>
              </w:rPr>
              <w:t>5.培训方式：本次培训聚焦音美教师美育专业素养与教学实践能力的双重提升，严格实施分学段和分学科的精准化研修。培训以理论与实践深度融合为核心，采用典型教学案例深度剖析引导教师借鉴创新，并依托任务驱动的参与式培训强化学科技能转化。通过精准需求分析、分层指导与学科专家匹配，确保资源精准投放与个体能力有效提升。贯穿成果导向，要求学员产出学段学科适配的可展示、可推广成果，最终实现专业素养与教学能力的显著进阶。</w:t>
            </w:r>
          </w:p>
          <w:p>
            <w:pPr>
              <w:pStyle w:val="null3"/>
            </w:pPr>
            <w:r>
              <w:rPr>
                <w:rFonts w:ascii="仿宋_GB2312" w:hAnsi="仿宋_GB2312" w:cs="仿宋_GB2312" w:eastAsia="仿宋_GB2312"/>
              </w:rPr>
              <w:t>6.供应商须提供项目培训方案、实施计划、专家师资、组织管理保障等信息。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在项目结束验收完成后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2.投标人未按合同要求提供服务或服务质量不能满足技术要求，且在规定时间内未使采购人满意的，采购人有权解除合同，同时报请西安市财政局政府采购监管部门对其违约行为进行追究。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成交通知书时，向采购代理机构提供一正两副纸质响应文件及电子版1份（签字盖章扫描PDF和word文档格式，U盘存储）。 2.供应商应自磋商文件递交截止时间起至磋商结束，保持在线状态。 3.本项目专门面向中小企业采购，供应商应为中小微企业或监狱企业或残疾人福利性单位。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提供具有财务审计资质单位出具的2024年度经审计的完整有效财务报告或其基本账户银行出具的资信证明或财政部门认可的政府采购专业担保机构出具的担保函，以上形式的证明资料提供任何一种即可。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 整体服务方案</w:t>
            </w:r>
          </w:p>
        </w:tc>
        <w:tc>
          <w:tcPr>
            <w:tcW w:type="dxa" w:w="2492"/>
          </w:tcPr>
          <w:p>
            <w:pPr>
              <w:pStyle w:val="null3"/>
            </w:pPr>
            <w:r>
              <w:rPr>
                <w:rFonts w:ascii="仿宋_GB2312" w:hAnsi="仿宋_GB2312" w:cs="仿宋_GB2312" w:eastAsia="仿宋_GB2312"/>
              </w:rPr>
              <w:t>针对本项目提供具体可行的整体服务方案，至少包括：①项目岗位特点及需求分析、②培训目标、③培训内容、④培训形式、⑤培训情况考核机制。以上内容完整、描述详尽、符合项目实际采购需求的，得35分；每缺少一项扣7分；虽提供但所述内容有缺陷扣3.5分/处，每项内容最多扣7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服务方案（2） 教学管理制度</w:t>
            </w:r>
          </w:p>
        </w:tc>
        <w:tc>
          <w:tcPr>
            <w:tcW w:type="dxa" w:w="2492"/>
          </w:tcPr>
          <w:p>
            <w:pPr>
              <w:pStyle w:val="null3"/>
            </w:pPr>
            <w:r>
              <w:rPr>
                <w:rFonts w:ascii="仿宋_GB2312" w:hAnsi="仿宋_GB2312" w:cs="仿宋_GB2312" w:eastAsia="仿宋_GB2312"/>
              </w:rPr>
              <w:t>至少包括：①各学科授课教师管理制度、②学员管理制度、③班主任管理制度、④其他健全的内部管理制度。以上内容完整、描述详尽、符合项目实际采购需求的，得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 组织管理保障方案</w:t>
            </w:r>
          </w:p>
        </w:tc>
        <w:tc>
          <w:tcPr>
            <w:tcW w:type="dxa" w:w="2492"/>
          </w:tcPr>
          <w:p>
            <w:pPr>
              <w:pStyle w:val="null3"/>
            </w:pPr>
            <w:r>
              <w:rPr>
                <w:rFonts w:ascii="仿宋_GB2312" w:hAnsi="仿宋_GB2312" w:cs="仿宋_GB2312" w:eastAsia="仿宋_GB2312"/>
              </w:rPr>
              <w:t>至少包括：①培训组织方案、②培训场地资源、③跟踪指导机制、④沟通协调机制、⑤各学科学员培训成果展示。以上内容完整描述详尽、符合项目实际采购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 应急管理方案</w:t>
            </w:r>
          </w:p>
        </w:tc>
        <w:tc>
          <w:tcPr>
            <w:tcW w:type="dxa" w:w="2492"/>
          </w:tcPr>
          <w:p>
            <w:pPr>
              <w:pStyle w:val="null3"/>
            </w:pPr>
            <w:r>
              <w:rPr>
                <w:rFonts w:ascii="仿宋_GB2312" w:hAnsi="仿宋_GB2312" w:cs="仿宋_GB2312" w:eastAsia="仿宋_GB2312"/>
              </w:rPr>
              <w:t>至少包括：①突发事件预防及处理、②师资力量调配。以上内容完整、描述详尽、符合项目实际采购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 人员配置</w:t>
            </w:r>
          </w:p>
        </w:tc>
        <w:tc>
          <w:tcPr>
            <w:tcW w:type="dxa" w:w="2492"/>
          </w:tcPr>
          <w:p>
            <w:pPr>
              <w:pStyle w:val="null3"/>
            </w:pPr>
            <w:r>
              <w:rPr>
                <w:rFonts w:ascii="仿宋_GB2312" w:hAnsi="仿宋_GB2312" w:cs="仿宋_GB2312" w:eastAsia="仿宋_GB2312"/>
              </w:rPr>
              <w:t>根据供应商拟投入本项目的专家团队进行评审，在满足采购需求的前提下(各科需至少有1名正高级或特级教师(高校及研究机构的，应具有与此相当的职称)。此外每增加1名正高级或特级教师，加3分，本项最高得15分； 注：①同一人员不可重复计分；②须提供人员清单(格式自拟，应明确所任课科目)，并附上职称证明复印件，加盖供应商公章，未提供或材料提供不完整的不得分。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完全响应招标文件且超过招标文件要求，包括且不限于配合采购人后期调整培训方案、及时提供培训项目开展信息、训后信息收集反馈、总结报送、学员考评考核等方面提供更优质的服务,得3分。须提供承诺函，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2022年01月01日以来(以合同签订时间为准)，每提供1个类似业绩的，得2分，本项最高得10分。 注：(1)类似业绩是指：教师培训类服务业绩；(2)应提供合同复印件或中标(成交)通知书复印件并加盖供应商公章。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vMerge/>
          </w:tcPr>
          <w:p/>
        </w:tc>
        <w:tc>
          <w:tcPr>
            <w:tcW w:type="dxa" w:w="1661"/>
          </w:tcPr>
          <w:p>
            <w:pPr>
              <w:pStyle w:val="null3"/>
            </w:pPr>
            <w:r>
              <w:rPr>
                <w:rFonts w:ascii="仿宋_GB2312" w:hAnsi="仿宋_GB2312" w:cs="仿宋_GB2312" w:eastAsia="仿宋_GB2312"/>
              </w:rPr>
              <w:t>服务评价</w:t>
            </w:r>
          </w:p>
        </w:tc>
        <w:tc>
          <w:tcPr>
            <w:tcW w:type="dxa" w:w="2492"/>
          </w:tcPr>
          <w:p>
            <w:pPr>
              <w:pStyle w:val="null3"/>
            </w:pPr>
            <w:r>
              <w:rPr>
                <w:rFonts w:ascii="仿宋_GB2312" w:hAnsi="仿宋_GB2312" w:cs="仿宋_GB2312" w:eastAsia="仿宋_GB2312"/>
              </w:rPr>
              <w:t>上述业绩经验中，每提供一个业主单位(或合同甲方)给出的服务质量良好(或满意)及以上评价的，得1分，本项满分5分。未提供的不得分。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详见附件：合同-新教材实施.docx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