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版本号：ZTZLZC-XA2025-080520250822001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2025年西安市能源平衡报告（能源平衡表）编制工作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ZTZLZC-XA2025-0805</w:t>
      </w:r>
      <w:r>
        <w:br/>
      </w:r>
      <w:r>
        <w:br/>
      </w:r>
      <w:r>
        <w:br/>
      </w:r>
    </w:p>
    <w:p>
      <w:pPr>
        <w:pStyle w:val="null3"/>
        <w:jc w:val="center"/>
        <w:outlineLvl w:val="2"/>
      </w:pPr>
      <w:r>
        <w:rPr>
          <w:rFonts w:ascii="仿宋_GB2312" w:hAnsi="仿宋_GB2312" w:cs="仿宋_GB2312" w:eastAsia="仿宋_GB2312"/>
          <w:sz w:val="28"/>
          <w:b/>
        </w:rPr>
        <w:t>西安市发展和改革委员会（本级）</w:t>
      </w:r>
    </w:p>
    <w:p>
      <w:pPr>
        <w:pStyle w:val="null3"/>
        <w:jc w:val="center"/>
        <w:outlineLvl w:val="2"/>
      </w:pPr>
      <w:r>
        <w:rPr>
          <w:rFonts w:ascii="仿宋_GB2312" w:hAnsi="仿宋_GB2312" w:cs="仿宋_GB2312" w:eastAsia="仿宋_GB2312"/>
          <w:sz w:val="28"/>
          <w:b/>
        </w:rPr>
        <w:t>陕西中天正略企业运营发展有限公司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陕西中天正略企业运营发展有限公司</w:t>
      </w:r>
      <w:r>
        <w:rPr>
          <w:rFonts w:ascii="仿宋_GB2312" w:hAnsi="仿宋_GB2312" w:cs="仿宋_GB2312" w:eastAsia="仿宋_GB2312"/>
        </w:rPr>
        <w:t>（以下简称“代理机构”）受</w:t>
      </w:r>
      <w:r>
        <w:rPr>
          <w:rFonts w:ascii="仿宋_GB2312" w:hAnsi="仿宋_GB2312" w:cs="仿宋_GB2312" w:eastAsia="仿宋_GB2312"/>
        </w:rPr>
        <w:t>西安市发展和改革委员会（本级）</w:t>
      </w:r>
      <w:r>
        <w:rPr>
          <w:rFonts w:ascii="仿宋_GB2312" w:hAnsi="仿宋_GB2312" w:cs="仿宋_GB2312" w:eastAsia="仿宋_GB2312"/>
        </w:rPr>
        <w:t>委托，拟对</w:t>
      </w:r>
      <w:r>
        <w:rPr>
          <w:rFonts w:ascii="仿宋_GB2312" w:hAnsi="仿宋_GB2312" w:cs="仿宋_GB2312" w:eastAsia="仿宋_GB2312"/>
        </w:rPr>
        <w:t>2025年西安市能源平衡报告（能源平衡表）编制工作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ZTZLZC-XA2025-0805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2025年西安市能源平衡报告（能源平衡表）编制工作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2025年西安市能源平衡报告（能源平衡表）编制工作，详见竞争性磋商文件。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3、财务状况报告：提供2024年度的财务审计报告或开户银行出具的资信证明；</w:t>
      </w:r>
    </w:p>
    <w:p>
      <w:pPr>
        <w:pStyle w:val="null3"/>
      </w:pPr>
      <w:r>
        <w:rPr>
          <w:rFonts w:ascii="仿宋_GB2312" w:hAnsi="仿宋_GB2312" w:cs="仿宋_GB2312" w:eastAsia="仿宋_GB2312"/>
        </w:rPr>
        <w:t>4、税收缴纳证明：开标前近一年内至少一个月的纳税凭证/证明，依法免税的应提供相关证明材料；</w:t>
      </w:r>
    </w:p>
    <w:p>
      <w:pPr>
        <w:pStyle w:val="null3"/>
      </w:pPr>
      <w:r>
        <w:rPr>
          <w:rFonts w:ascii="仿宋_GB2312" w:hAnsi="仿宋_GB2312" w:cs="仿宋_GB2312" w:eastAsia="仿宋_GB2312"/>
        </w:rPr>
        <w:t>5、社会保障资金缴纳证明：开标前近一年内至少一个月的社会保障资金缴纳凭证/证明，依法不需要缴纳的应提供相关证明材料；</w:t>
      </w:r>
    </w:p>
    <w:p>
      <w:pPr>
        <w:pStyle w:val="null3"/>
      </w:pPr>
      <w:r>
        <w:rPr>
          <w:rFonts w:ascii="仿宋_GB2312" w:hAnsi="仿宋_GB2312" w:cs="仿宋_GB2312" w:eastAsia="仿宋_GB2312"/>
        </w:rPr>
        <w:t>6、履约承诺： 提供具有履行本合同所必需的设备和专业技术能力的说明或承诺书；</w:t>
      </w:r>
    </w:p>
    <w:p>
      <w:pPr>
        <w:pStyle w:val="null3"/>
      </w:pPr>
      <w:r>
        <w:rPr>
          <w:rFonts w:ascii="仿宋_GB2312" w:hAnsi="仿宋_GB2312" w:cs="仿宋_GB2312" w:eastAsia="仿宋_GB2312"/>
        </w:rPr>
        <w:t xml:space="preserve">7、书面声明： 供应商应出具参加政府采购活动前3年内在经营活动中没有重大违法记录的书面声明； </w:t>
      </w:r>
    </w:p>
    <w:p>
      <w:pPr>
        <w:pStyle w:val="null3"/>
      </w:pPr>
      <w:r>
        <w:rPr>
          <w:rFonts w:ascii="仿宋_GB2312" w:hAnsi="仿宋_GB2312" w:cs="仿宋_GB2312" w:eastAsia="仿宋_GB2312"/>
        </w:rPr>
        <w:t>8、信用截图： 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9、中小企业执行情况：本项目不专门面向中小企业</w:t>
      </w:r>
    </w:p>
    <w:p>
      <w:pPr>
        <w:pStyle w:val="null3"/>
      </w:pPr>
      <w:r>
        <w:rPr>
          <w:rFonts w:ascii="仿宋_GB2312" w:hAnsi="仿宋_GB2312" w:cs="仿宋_GB2312" w:eastAsia="仿宋_GB2312"/>
        </w:rPr>
        <w:t>10、不接受联合体：本项目不接受联合体投标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西安市政府7号楼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西安市发展和改革委员会（本级）经办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陕西中天正略企业运营发展有限公司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陕西省西安市雁塔区西安曲江新区翠华路500号佳和中心B座26层3号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029-89660303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代理服务费收费标准：根据发改价格[2011]534号文件及《国家发展改革委关于进一步放开建设项目专业服务价格的通知》（发改价格〔2015〕299号）文规定收取代理服务费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西安市发展和改革委员会（本级）</w:t>
      </w:r>
      <w:r>
        <w:rPr>
          <w:rFonts w:ascii="仿宋_GB2312" w:hAnsi="仿宋_GB2312" w:cs="仿宋_GB2312" w:eastAsia="仿宋_GB2312"/>
        </w:rPr>
        <w:t>和</w:t>
      </w:r>
      <w:r>
        <w:rPr>
          <w:rFonts w:ascii="仿宋_GB2312" w:hAnsi="仿宋_GB2312" w:cs="仿宋_GB2312" w:eastAsia="仿宋_GB2312"/>
        </w:rPr>
        <w:t>陕西中天正略企业运营发展有限公司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陕西中天正略企业运营发展有限公司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陕西中天正略企业运营发展有限公司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 课题完成后，由乙方向甲方递交课题资料、调研记录和完工通知书，经甲方确认后，组织乙方进行验收（甲方可委托具有相关资质的第三方研究机构/技术专家对终稿进行验收，需要国家法定研究部门进行验收的由乙方负责联系）。验收合格后，填写政府采购项目验收单（一式 2 份）作为对终稿的最终认可。 （二）验收依据 1.招投标文件、澄清表（函）； 2.本合同及附件文本； 3.合同签订时国家及行业现行的标准和技术规范。 （三）资料归档 乙方应向甲方提交项目实施过程中的所有资料，以便采购人甲方日后管理和维护。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联系人：翟工</w:t>
      </w:r>
    </w:p>
    <w:p>
      <w:pPr>
        <w:pStyle w:val="null3"/>
      </w:pPr>
      <w:r>
        <w:rPr>
          <w:rFonts w:ascii="仿宋_GB2312" w:hAnsi="仿宋_GB2312" w:cs="仿宋_GB2312" w:eastAsia="仿宋_GB2312"/>
        </w:rPr>
        <w:t>联系电话：029-89660303</w:t>
      </w:r>
    </w:p>
    <w:p>
      <w:pPr>
        <w:pStyle w:val="null3"/>
      </w:pPr>
      <w:r>
        <w:rPr>
          <w:rFonts w:ascii="仿宋_GB2312" w:hAnsi="仿宋_GB2312" w:cs="仿宋_GB2312" w:eastAsia="仿宋_GB2312"/>
        </w:rPr>
        <w:t>地址：西安曲江新区翠华路500号佳和中心B座26层3号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2025年西安市能源平衡报告（能源平衡表）编制工作，详见竞争性磋商文件。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2025年西安市能源平衡报告（能源平衡表）编制工作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标的名称：2025年西安市能源平衡报告（能源平衡表）编制工作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编制单位须按照甲方要求，围绕能源工作提供咨询服务。严格遵守国家及地方相关法律、法规、规范、标准和技术规定的深度要求以及合同约定的内容交付成果，并对提交的成果质量负责；编制单位按项目规定的内容、进度及份数向甲方交付工作成果，工作成果应具有科学性、合理性和可操作性，并通过项目评审等相关要求；编制单位收到相关资料及文件后，按时参加有关的沟通会或评审会，并根据会议结论负责对不超出合同约定范围的内容做合理必要修改补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 课题完成后，由乙方向甲方递交课题资料、调研记录和完工通知书，经甲方确认后，组织乙方进行验收（甲方可委托具有相关资质的第三方研究机构/技术专家对终稿进行验收，需要国家法定研究部门进行验收的由乙方负责联系）。验收合格后，填写政府采购项目验收单（一式 2 份）作为对终稿的最终认可。 （二）验收依据 1.招投标文件、澄清表（函）； 2.本合同及附件文本； 3.合同签订时国家及行业现行的标准和技术规范。 4. （三）资料归档 乙方应向甲方提交项目实施过程中的所有资料，以便采购人甲方日后管理和维护。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完成本项目服务内容并将所有通过评审的成果资料移交甲方后一次性付清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双方合同约定为准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国家乡村振兴局关于运用政府采购政策支持乡村产业振兴的通知》（财库〔2021〕19号）； （10）《财政部 农业农村部 国家乡村振兴局 中华全国供销合作总社关于印发&lt;关于深入开展政府采购脱贫地区农副产品工作推进乡村产业振兴的实施意见&gt;的通知》（财库〔2021〕20号）；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资格证明文件.pdf</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提供2024年度的财务审计报告或开户银行出具的资信证明；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开标前近一年内至少一个月的纳税凭证/证明，依法免税的应提供相关证明材料；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开标前近一年内至少一个月的社会保障资金缴纳凭证/证明，依法不需要缴纳的应提供相关证明材料；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 xml:space="preserve"> 提供具有履行本合同所必需的设备和专业技术能力的说明或承诺书；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 xml:space="preserve"> 供应商应出具参加政府采购活动前3年内在经营活动中没有重大违法记录的书面声明； </w:t>
            </w:r>
          </w:p>
        </w:tc>
        <w:tc>
          <w:tcPr>
            <w:tcW w:type="dxa" w:w="1661"/>
          </w:tcPr>
          <w:p>
            <w:pPr>
              <w:pStyle w:val="null3"/>
            </w:pPr>
            <w:r>
              <w:rPr>
                <w:rFonts w:ascii="仿宋_GB2312" w:hAnsi="仿宋_GB2312" w:cs="仿宋_GB2312" w:eastAsia="仿宋_GB2312"/>
              </w:rPr>
              <w:t>其他.pdf 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 xml:space="preserve"> 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中小企业执行情况</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开标一览表.pdf 标的清单 报价表 响应函docx.pdf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封面.pdf 中小企业声明函 残疾人福利性单位声明函 服务方案格式.pdf 开标一览表.pdf 标的清单 其他.pdf 报价表 响应函 资格证明文件.pdf 响应函docx.pdf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w:t>
            </w:r>
          </w:p>
        </w:tc>
        <w:tc>
          <w:tcPr>
            <w:tcW w:type="dxa" w:w="1661"/>
          </w:tcPr>
          <w:p>
            <w:pPr>
              <w:pStyle w:val="null3"/>
            </w:pPr>
            <w:r>
              <w:rPr>
                <w:rFonts w:ascii="仿宋_GB2312" w:hAnsi="仿宋_GB2312" w:cs="仿宋_GB2312" w:eastAsia="仿宋_GB2312"/>
              </w:rPr>
              <w:t>封面.pdf 开标一览表.pdf 响应函docx.pdf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服务方案格式.pdf 开标一览表.pdf 报价表 响应函 响应函docx.pdf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封面.pdf 中小企业声明函 残疾人福利性单位声明函 服务方案格式.pdf 开标一览表.pdf 标的清单 其他.pdf 报价表 响应函 资格证明文件.pdf 响应函docx.pdf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项目理解和分析</w:t>
            </w:r>
          </w:p>
        </w:tc>
        <w:tc>
          <w:tcPr>
            <w:tcW w:type="dxa" w:w="2492"/>
          </w:tcPr>
          <w:p>
            <w:pPr>
              <w:pStyle w:val="null3"/>
            </w:pPr>
            <w:r>
              <w:rPr>
                <w:rFonts w:ascii="仿宋_GB2312" w:hAnsi="仿宋_GB2312" w:cs="仿宋_GB2312" w:eastAsia="仿宋_GB2312"/>
              </w:rPr>
              <w:t>①对西安市能源结构现状的理解、分析以及存在的问题等内容进行阐述，内容全面完整，科学合理得9.1-12分；②内容较为全面完整，较为科学合理得6.1-9分；③内容基本全面完整，基本科学合理得3-6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科学合理的服务方案，要求内容准确、全面，思路清晰，逻辑严密，符合国家及省市相关规范要求，有较强的指导性及可操作性。①内容全面，思路清晰，有条理性，实施方案能全面满足服务要求，得7.1-10分；②内容较全面，思路较清晰，实施方案基本满足要求，得5.1-7分；③内容基本全面但思路不清晰,得3-5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质量管理体系健全，质量保障措施得当，有针对性，得7.1-10分；②质量管理体系较为健全，质量保障措施较为得当、有针对性，得5.1-7分；③质量管理体系基本健全，质量保障措施基本得当、基本有针对性，得3-5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各项任务，进度计划安排科学合理，保障措施完善，符合项目实际情况，得6.1-8分；②能够按时完成各项任务，进度计划安排较为科学合理，保证措施较为完善，得4.1-6分；③能够完成按时完成各项任务，但进度计划安排基本科学合理，保障措施基本可行，得2-4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对项目实施过程中存在的重点、难点把握准确、分析透彻，建议及对策措施具有针对性、可行性、科学性，得9.1-12分；②重难点把握较为准确、分析较清楚，建议及对策措施较为可行，得6.1-9分；③重难点把握基本准确、分析基本清楚、对策措施基本可行，得3-6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①保密制度健全、措施具体可行，得6.1-9分；②制度基本健全、措施基本可行，得3-6分，未提供不得分。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供应商有针对本项目拟投入的专业服务团队，组织结构合理，人员分工明确满足要求，按其响应程度进行赋分，优秀得10.1-14分；良好得6.1-10分；差得2-6分，未提供不得分。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供应商2021年1月1日至今承担过类似项目业绩，每个业绩得5分，最高得10分。（以成交通知书或合同签订时间为准，须提供成交通知书或合同复印件并加盖供应商公章），未提供不得分。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服务方案格式.pdf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针对本项目服务内容作出相应承诺，本项得2-5分，未提供不得分。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服务方案格式.pdf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响应函docx.pdf</w:t>
            </w:r>
          </w:p>
          <w:p>
            <w:pPr>
              <w:pStyle w:val="null3"/>
            </w:pPr>
            <w:r>
              <w:rPr>
                <w:rFonts w:ascii="仿宋_GB2312" w:hAnsi="仿宋_GB2312" w:cs="仿宋_GB2312" w:eastAsia="仿宋_GB2312"/>
              </w:rPr>
              <w:t>开标一览表.pdf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资格证明文件.pdf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详见附件：封面.pdf</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详见附件：响应函docx.pdf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详见附件：开标一览表.pdf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详见附件：服务方案格式.pdf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详见附件：合同格式8.27.docx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