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版本号：SXDZ2025-ZC-CS02920250812001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耕地质量等级变更调查评价项目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SXDZ2025-ZC-CS029</w:t>
      </w:r>
      <w:r>
        <w:br/>
      </w:r>
      <w:r>
        <w:br/>
      </w:r>
      <w:r>
        <w:br/>
      </w:r>
    </w:p>
    <w:p>
      <w:pPr>
        <w:pStyle w:val="null3"/>
        <w:jc w:val="center"/>
        <w:outlineLvl w:val="2"/>
      </w:pPr>
      <w:r>
        <w:rPr>
          <w:rFonts w:ascii="仿宋_GB2312" w:hAnsi="仿宋_GB2312" w:cs="仿宋_GB2312" w:eastAsia="仿宋_GB2312"/>
          <w:sz w:val="28"/>
          <w:b/>
        </w:rPr>
        <w:t>西安市农业农村局（本级）</w:t>
      </w:r>
    </w:p>
    <w:p>
      <w:pPr>
        <w:pStyle w:val="null3"/>
        <w:jc w:val="center"/>
        <w:outlineLvl w:val="2"/>
      </w:pPr>
      <w:r>
        <w:rPr>
          <w:rFonts w:ascii="仿宋_GB2312" w:hAnsi="仿宋_GB2312" w:cs="仿宋_GB2312" w:eastAsia="仿宋_GB2312"/>
          <w:sz w:val="28"/>
          <w:b/>
        </w:rPr>
        <w:t>陕西东卓项目管理有限公司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陕西东卓项目管理有限公司</w:t>
      </w:r>
      <w:r>
        <w:rPr>
          <w:rFonts w:ascii="仿宋_GB2312" w:hAnsi="仿宋_GB2312" w:cs="仿宋_GB2312" w:eastAsia="仿宋_GB2312"/>
        </w:rPr>
        <w:t>（以下简称“代理机构”）受</w:t>
      </w:r>
      <w:r>
        <w:rPr>
          <w:rFonts w:ascii="仿宋_GB2312" w:hAnsi="仿宋_GB2312" w:cs="仿宋_GB2312" w:eastAsia="仿宋_GB2312"/>
        </w:rPr>
        <w:t>西安市农业农村局（本级）</w:t>
      </w:r>
      <w:r>
        <w:rPr>
          <w:rFonts w:ascii="仿宋_GB2312" w:hAnsi="仿宋_GB2312" w:cs="仿宋_GB2312" w:eastAsia="仿宋_GB2312"/>
        </w:rPr>
        <w:t>委托，拟对</w:t>
      </w:r>
      <w:r>
        <w:rPr>
          <w:rFonts w:ascii="仿宋_GB2312" w:hAnsi="仿宋_GB2312" w:cs="仿宋_GB2312" w:eastAsia="仿宋_GB2312"/>
        </w:rPr>
        <w:t>耕地质量等级变更调查评价项目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SXDZ2025-ZC-CS029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耕地质量等级变更调查评价项目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确保耕地保护和粮食安全责任制考核、自然资源资产负债表编制和占补平衡政策调整等相关工作任务高质量落实，按照省农业农村厅办公室关于印发《陕西省耕地质量等级变更调查评价工作方案》的通知要求，在全市开展西安市本级和县域耕地质量等级变更调查评价，涉及西安市本级和灞桥区、阎良区、高陵区、长安区、临潼区、鄠邑区、蓝田县、周至县、未央区等9个区县。</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采购包1（耕地质量等级变更调查评价项目）：属于专门面向中小企业采购。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1、磋商主体证明文件：具有独立承担民事责任能力的法人、其他组织或自然人，并出具合法有效的营业执照或事业单位法人证书等国家规定的相关证明，自然人参与的提供其身份证明书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2、法定代表人身份证明/法定代表人授权委托书 ：法定代表人参加磋商的，须出具法定代表人身份证明书及身份证。法定代表人授权委托人参加磋商的，须出具法定代表人授权委托书及授权委托人身份证</w:t>
      </w:r>
    </w:p>
    <w:p>
      <w:pPr>
        <w:pStyle w:val="null3"/>
      </w:pPr>
      <w:r>
        <w:rPr>
          <w:rFonts w:ascii="仿宋_GB2312" w:hAnsi="仿宋_GB2312" w:cs="仿宋_GB2312" w:eastAsia="仿宋_GB2312"/>
        </w:rPr>
        <w:t>3、财务状况 ：提供2024年度经审计的财务报告（成立时间至响应文件递交截止时间不足一年的可提供成立后任意时段的资产负债表），或提供响应文递交截止日前三个月内其基本存款账户开户银行出具的资信证明</w:t>
      </w:r>
    </w:p>
    <w:p>
      <w:pPr>
        <w:pStyle w:val="null3"/>
      </w:pPr>
      <w:r>
        <w:rPr>
          <w:rFonts w:ascii="仿宋_GB2312" w:hAnsi="仿宋_GB2312" w:cs="仿宋_GB2312" w:eastAsia="仿宋_GB2312"/>
        </w:rPr>
        <w:t>4、依法缴纳税收的证明 ：提供递交响应文件截止之日前一年内任意一个月的依法缴纳税收的相关凭据（时间以税款所属日期为准），依法免税或无须缴纳税收的供应商，应提供相应证明文件</w:t>
      </w:r>
    </w:p>
    <w:p>
      <w:pPr>
        <w:pStyle w:val="null3"/>
      </w:pPr>
      <w:r>
        <w:rPr>
          <w:rFonts w:ascii="仿宋_GB2312" w:hAnsi="仿宋_GB2312" w:cs="仿宋_GB2312" w:eastAsia="仿宋_GB2312"/>
        </w:rPr>
        <w:t>5、依法缴纳社保的证明 ：依法缴纳社保的证明：提供递交响应文件截止之日前一年内任意一个月的社会保障资金缴纳证明，依法不需要缴纳社会保障资金的供应商应提供相关文件证明</w:t>
      </w:r>
    </w:p>
    <w:p>
      <w:pPr>
        <w:pStyle w:val="null3"/>
      </w:pPr>
      <w:r>
        <w:rPr>
          <w:rFonts w:ascii="仿宋_GB2312" w:hAnsi="仿宋_GB2312" w:cs="仿宋_GB2312" w:eastAsia="仿宋_GB2312"/>
        </w:rPr>
        <w:t>6、无重大违法记录的声明 ：参加政府采购活动前3年内在经营活动中没有重大违法记录的书面声明。</w:t>
      </w:r>
    </w:p>
    <w:p>
      <w:pPr>
        <w:pStyle w:val="null3"/>
      </w:pPr>
      <w:r>
        <w:rPr>
          <w:rFonts w:ascii="仿宋_GB2312" w:hAnsi="仿宋_GB2312" w:cs="仿宋_GB2312" w:eastAsia="仿宋_GB2312"/>
        </w:rPr>
        <w:t>7、具备履行合同所必需的设备和专业技术能力的证明材料 ：供应商需在项目电子化交易系统中提供具备履行合同所必需的设备和专业技术能力的承诺并进行电子签章</w:t>
      </w:r>
    </w:p>
    <w:p>
      <w:pPr>
        <w:pStyle w:val="null3"/>
      </w:pPr>
      <w:r>
        <w:rPr>
          <w:rFonts w:ascii="仿宋_GB2312" w:hAnsi="仿宋_GB2312" w:cs="仿宋_GB2312" w:eastAsia="仿宋_GB2312"/>
        </w:rPr>
        <w:t>8、信用查询 ：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w:t>
      </w:r>
    </w:p>
    <w:p>
      <w:pPr>
        <w:pStyle w:val="null3"/>
      </w:pPr>
      <w:r>
        <w:rPr>
          <w:rFonts w:ascii="仿宋_GB2312" w:hAnsi="仿宋_GB2312" w:cs="仿宋_GB2312" w:eastAsia="仿宋_GB2312"/>
        </w:rPr>
        <w:t>9、本项目不接受联合体投标 ：本项目不接受联合体投标；（提供书面承诺，加盖供应商公章）。</w:t>
      </w:r>
    </w:p>
    <w:p>
      <w:pPr>
        <w:pStyle w:val="null3"/>
      </w:pPr>
      <w:r>
        <w:rPr>
          <w:rFonts w:ascii="仿宋_GB2312" w:hAnsi="仿宋_GB2312" w:cs="仿宋_GB2312" w:eastAsia="仿宋_GB2312"/>
        </w:rPr>
        <w:t>10、控股管理关系及其他 ：单位负责人为同一人或者存在直接控股、管理关系的不同供应商，不得参加同一合同项下的采购活动；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西安市农业农村局（本级）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西安市农业农村局（本级）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029-86787471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陕西东卓项目管理有限公司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陕西省西安市莲湖区御笔城市广场2号电梯408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029-86637322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 xml:space="preserve"> / </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 xml:space="preserve"> / </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 xml:space="preserve"> / </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单个项目按照标准收取不足8000元的，按8000元计取）。缴纳账户如下：户名：：陕西东卓项目管理有限公司 开户银行：中国银行股份有限公司西安市经济技术开发区支行 账 号：102494375315 转账事由：（项目名称）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西安市农业农村局（本级）</w:t>
      </w:r>
      <w:r>
        <w:rPr>
          <w:rFonts w:ascii="仿宋_GB2312" w:hAnsi="仿宋_GB2312" w:cs="仿宋_GB2312" w:eastAsia="仿宋_GB2312"/>
        </w:rPr>
        <w:t>和</w:t>
      </w:r>
      <w:r>
        <w:rPr>
          <w:rFonts w:ascii="仿宋_GB2312" w:hAnsi="仿宋_GB2312" w:cs="仿宋_GB2312" w:eastAsia="仿宋_GB2312"/>
        </w:rPr>
        <w:t>陕西东卓项目管理有限公司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西安市农业农村局（本级）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陕西东卓项目管理有限公司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西安市农业农村局（本级）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陕西东卓项目管理有限公司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联系人：冯工</w:t>
      </w:r>
    </w:p>
    <w:p>
      <w:pPr>
        <w:pStyle w:val="null3"/>
      </w:pPr>
      <w:r>
        <w:rPr>
          <w:rFonts w:ascii="仿宋_GB2312" w:hAnsi="仿宋_GB2312" w:cs="仿宋_GB2312" w:eastAsia="仿宋_GB2312"/>
        </w:rPr>
        <w:t>联系电话：029-86637322</w:t>
      </w:r>
    </w:p>
    <w:p>
      <w:pPr>
        <w:pStyle w:val="null3"/>
      </w:pPr>
      <w:r>
        <w:rPr>
          <w:rFonts w:ascii="仿宋_GB2312" w:hAnsi="仿宋_GB2312" w:cs="仿宋_GB2312" w:eastAsia="仿宋_GB2312"/>
        </w:rPr>
        <w:t>地址：陕西省西安市莲湖区御笔城市广场2号电梯408</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确保耕地保护和粮食安全责任制考核、自然资源资产负债表编制和占补平衡政策调整等相关工作任务高质量落实，按照省农业农村厅办公室关于印发《陕西省耕地质量等级变更调查评价工作方案》的通知要求，在全市开展西安市本级和县域耕地质量等级变更调查评价，涉及西安市本级和灞桥区、阎良区、高陵区、长安区、临潼区、鄠邑区、蓝田县、周至县、未央区等9个区县。</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县域耕地质量等级变更调查评价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标的名称：县域耕地质量等级变更调查评价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45"/>
              <w:ind w:right="285" w:firstLine="660"/>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sz w:val="21"/>
              </w:rPr>
              <w:t>为确保耕地保护和粮食安全责任制考核、自然资源资产负债表编制和占补平衡政策调整等相关工作任务高质量落实，按照省农业农村厅办公室关于印发《陕西省耕地质量等级变更调查评价工作方案》的通知要求，在全市开展西安市本级和县域耕地质量等级变更调查评价，涉及西安市本级和灞桥区、阎良区、高陵区、长安区、临潼区、鄠邑区、蓝田县、周至县、未央区等</w:t>
            </w:r>
            <w:r>
              <w:rPr>
                <w:rFonts w:ascii="仿宋_GB2312" w:hAnsi="仿宋_GB2312" w:cs="仿宋_GB2312" w:eastAsia="仿宋_GB2312"/>
                <w:sz w:val="21"/>
              </w:rPr>
              <w:t>9</w:t>
            </w:r>
            <w:r>
              <w:rPr>
                <w:rFonts w:ascii="仿宋_GB2312" w:hAnsi="仿宋_GB2312" w:cs="仿宋_GB2312" w:eastAsia="仿宋_GB2312"/>
                <w:sz w:val="21"/>
              </w:rPr>
              <w:t>个区县。</w:t>
            </w:r>
          </w:p>
          <w:p>
            <w:pPr>
              <w:pStyle w:val="null3"/>
              <w:spacing w:before="45"/>
              <w:ind w:right="285" w:firstLine="660"/>
            </w:pPr>
            <w:r>
              <w:rPr>
                <w:rFonts w:ascii="仿宋_GB2312" w:hAnsi="仿宋_GB2312" w:cs="仿宋_GB2312" w:eastAsia="仿宋_GB2312"/>
                <w:sz w:val="21"/>
                <w:b/>
              </w:rPr>
              <w:t>二、服务内容</w:t>
            </w:r>
          </w:p>
          <w:p>
            <w:pPr>
              <w:pStyle w:val="null3"/>
              <w:ind w:firstLine="420"/>
              <w:jc w:val="both"/>
            </w:pPr>
            <w:r>
              <w:rPr>
                <w:rFonts w:ascii="仿宋_GB2312" w:hAnsi="仿宋_GB2312" w:cs="仿宋_GB2312" w:eastAsia="仿宋_GB2312"/>
                <w:sz w:val="21"/>
              </w:rPr>
              <w:t>（一）资料收集及数据处理费。收集西安市本级和</w:t>
            </w:r>
            <w:r>
              <w:rPr>
                <w:rFonts w:ascii="仿宋_GB2312" w:hAnsi="仿宋_GB2312" w:cs="仿宋_GB2312" w:eastAsia="仿宋_GB2312"/>
                <w:sz w:val="21"/>
              </w:rPr>
              <w:t>9</w:t>
            </w:r>
            <w:r>
              <w:rPr>
                <w:rFonts w:ascii="仿宋_GB2312" w:hAnsi="仿宋_GB2312" w:cs="仿宋_GB2312" w:eastAsia="仿宋_GB2312"/>
                <w:sz w:val="21"/>
              </w:rPr>
              <w:t>个区县评价目标年份的县级土壤图、土地利用现状图、行政区划图，耕地质量建设区域分布图（高标准农田分布图等）、耕地占用与补充地块分布图、耕地损毁破坏区分布图等图件资料。</w:t>
            </w:r>
          </w:p>
          <w:p>
            <w:pPr>
              <w:pStyle w:val="null3"/>
              <w:ind w:firstLine="420"/>
              <w:jc w:val="both"/>
            </w:pPr>
            <w:r>
              <w:rPr>
                <w:rFonts w:ascii="仿宋_GB2312" w:hAnsi="仿宋_GB2312" w:cs="仿宋_GB2312" w:eastAsia="仿宋_GB2312"/>
                <w:sz w:val="21"/>
              </w:rPr>
              <w:t>（二）建</w:t>
            </w:r>
            <w:r>
              <w:rPr>
                <w:rFonts w:ascii="仿宋_GB2312" w:hAnsi="仿宋_GB2312" w:cs="仿宋_GB2312" w:eastAsia="仿宋_GB2312"/>
                <w:sz w:val="21"/>
              </w:rPr>
              <w:t>设耕地评价工作空间。分别建立西安市本级和</w:t>
            </w:r>
            <w:r>
              <w:rPr>
                <w:rFonts w:ascii="仿宋_GB2312" w:hAnsi="仿宋_GB2312" w:cs="仿宋_GB2312" w:eastAsia="仿宋_GB2312"/>
                <w:sz w:val="21"/>
              </w:rPr>
              <w:t>9</w:t>
            </w:r>
            <w:r>
              <w:rPr>
                <w:rFonts w:ascii="仿宋_GB2312" w:hAnsi="仿宋_GB2312" w:cs="仿宋_GB2312" w:eastAsia="仿宋_GB2312"/>
                <w:sz w:val="21"/>
              </w:rPr>
              <w:t>个区县县域耕地资源管理信息系统工作空间，更新空间数据库和属性数据库，确定评价单元及单元赋值，确定等级评价指标体系。</w:t>
            </w:r>
            <w:r>
              <w:rPr>
                <w:rFonts w:ascii="仿宋_GB2312" w:hAnsi="仿宋_GB2312" w:cs="仿宋_GB2312" w:eastAsia="仿宋_GB2312"/>
                <w:sz w:val="21"/>
              </w:rPr>
              <w:t>依据《第三次全国土壤普查耕地质量等级评价技术规范》，</w:t>
            </w:r>
            <w:r>
              <w:rPr>
                <w:rFonts w:ascii="仿宋_GB2312" w:hAnsi="仿宋_GB2312" w:cs="仿宋_GB2312" w:eastAsia="仿宋_GB2312"/>
                <w:sz w:val="21"/>
              </w:rPr>
              <w:t>应用县域耕地资源管理信息系统，进行耕地质量等级评价，核算汇总调查评价数据。</w:t>
            </w:r>
          </w:p>
          <w:p>
            <w:pPr>
              <w:pStyle w:val="null3"/>
              <w:ind w:firstLine="420"/>
              <w:jc w:val="both"/>
            </w:pPr>
            <w:r>
              <w:rPr>
                <w:rFonts w:ascii="仿宋_GB2312" w:hAnsi="仿宋_GB2312" w:cs="仿宋_GB2312" w:eastAsia="仿宋_GB2312"/>
                <w:sz w:val="21"/>
              </w:rPr>
              <w:t>（三）耕地质量等级评价报</w:t>
            </w:r>
            <w:r>
              <w:rPr>
                <w:rFonts w:ascii="仿宋_GB2312" w:hAnsi="仿宋_GB2312" w:cs="仿宋_GB2312" w:eastAsia="仿宋_GB2312"/>
                <w:sz w:val="21"/>
              </w:rPr>
              <w:t>告编制及专题地图编制。分别编制西安市本级和</w:t>
            </w:r>
            <w:r>
              <w:rPr>
                <w:rFonts w:ascii="仿宋_GB2312" w:hAnsi="仿宋_GB2312" w:cs="仿宋_GB2312" w:eastAsia="仿宋_GB2312"/>
                <w:sz w:val="21"/>
              </w:rPr>
              <w:t>9</w:t>
            </w:r>
            <w:r>
              <w:rPr>
                <w:rFonts w:ascii="仿宋_GB2312" w:hAnsi="仿宋_GB2312" w:cs="仿宋_GB2312" w:eastAsia="仿宋_GB2312"/>
                <w:sz w:val="21"/>
              </w:rPr>
              <w:t>个区县的县域耕地质量等级变更调查评价报告，绘制相应专题图件。</w:t>
            </w:r>
          </w:p>
          <w:p>
            <w:pPr>
              <w:pStyle w:val="null3"/>
              <w:ind w:firstLine="422"/>
              <w:jc w:val="both"/>
            </w:pPr>
            <w:r>
              <w:rPr>
                <w:rFonts w:ascii="仿宋_GB2312" w:hAnsi="仿宋_GB2312" w:cs="仿宋_GB2312" w:eastAsia="仿宋_GB2312"/>
                <w:sz w:val="21"/>
                <w:b/>
              </w:rPr>
              <w:t>三、服务要求</w:t>
            </w:r>
          </w:p>
          <w:p>
            <w:pPr>
              <w:pStyle w:val="null3"/>
              <w:ind w:firstLine="420"/>
              <w:jc w:val="both"/>
            </w:pPr>
            <w:r>
              <w:rPr>
                <w:rFonts w:ascii="仿宋_GB2312" w:hAnsi="仿宋_GB2312" w:cs="仿宋_GB2312" w:eastAsia="仿宋_GB2312"/>
                <w:sz w:val="21"/>
              </w:rPr>
              <w:t>为我市提供</w:t>
            </w:r>
            <w:r>
              <w:rPr>
                <w:rFonts w:ascii="仿宋_GB2312" w:hAnsi="仿宋_GB2312" w:cs="仿宋_GB2312" w:eastAsia="仿宋_GB2312"/>
                <w:sz w:val="21"/>
              </w:rPr>
              <w:t>耕地质量等级变更调查评价工作</w:t>
            </w:r>
            <w:r>
              <w:rPr>
                <w:rFonts w:ascii="仿宋_GB2312" w:hAnsi="仿宋_GB2312" w:cs="仿宋_GB2312" w:eastAsia="仿宋_GB2312"/>
                <w:sz w:val="21"/>
              </w:rPr>
              <w:t>。主要委托第三方承担工作包括：</w:t>
            </w:r>
            <w:r>
              <w:rPr>
                <w:rFonts w:ascii="仿宋_GB2312" w:hAnsi="仿宋_GB2312" w:cs="仿宋_GB2312" w:eastAsia="仿宋_GB2312"/>
                <w:sz w:val="21"/>
              </w:rPr>
              <w:t>一是</w:t>
            </w:r>
            <w:r>
              <w:rPr>
                <w:rFonts w:ascii="仿宋_GB2312" w:hAnsi="仿宋_GB2312" w:cs="仿宋_GB2312" w:eastAsia="仿宋_GB2312"/>
                <w:sz w:val="21"/>
              </w:rPr>
              <w:t>根据最新国土</w:t>
            </w:r>
            <w:r>
              <w:rPr>
                <w:rFonts w:ascii="仿宋_GB2312" w:hAnsi="仿宋_GB2312" w:cs="仿宋_GB2312" w:eastAsia="仿宋_GB2312"/>
                <w:sz w:val="21"/>
              </w:rPr>
              <w:t>“三调”耕地面积，在常规利用区、质量建设区（高标准农田建设区、退化耕地治理区）、耕地占补区及损毁破坏区等引起耕地质量明显变化的区域，以县域为单位，开展县域耕地质量年度变更调查评价和西安市本级耕地质量年度变更调查评价。</w:t>
            </w:r>
            <w:r>
              <w:rPr>
                <w:rFonts w:ascii="仿宋_GB2312" w:hAnsi="仿宋_GB2312" w:cs="仿宋_GB2312" w:eastAsia="仿宋_GB2312"/>
                <w:sz w:val="21"/>
              </w:rPr>
              <w:t>二是</w:t>
            </w:r>
            <w:r>
              <w:rPr>
                <w:rFonts w:ascii="仿宋_GB2312" w:hAnsi="仿宋_GB2312" w:cs="仿宋_GB2312" w:eastAsia="仿宋_GB2312"/>
                <w:sz w:val="21"/>
              </w:rPr>
              <w:t>依据调查评价结果，分别核算耕地质量等级变动情况，对年度内不同质量等级耕地面积增减情况进行统计，更新县域耕地</w:t>
            </w:r>
            <w:r>
              <w:rPr>
                <w:rFonts w:ascii="仿宋_GB2312" w:hAnsi="仿宋_GB2312" w:cs="仿宋_GB2312" w:eastAsia="仿宋_GB2312"/>
                <w:sz w:val="21"/>
              </w:rPr>
              <w:t>资源管理信息系统工作空间。</w:t>
            </w:r>
            <w:r>
              <w:rPr>
                <w:rFonts w:ascii="仿宋_GB2312" w:hAnsi="仿宋_GB2312" w:cs="仿宋_GB2312" w:eastAsia="仿宋_GB2312"/>
                <w:sz w:val="21"/>
              </w:rPr>
              <w:t>三是</w:t>
            </w:r>
            <w:r>
              <w:rPr>
                <w:rFonts w:ascii="仿宋_GB2312" w:hAnsi="仿宋_GB2312" w:cs="仿宋_GB2312" w:eastAsia="仿宋_GB2312"/>
                <w:sz w:val="21"/>
              </w:rPr>
              <w:t>根据各等级面积增减情况，核算西安市本级和县域耕地质量平均等级，编制西安市和县域耕地质量等级评价报告，填写自然资源资产负债表。</w:t>
            </w:r>
          </w:p>
          <w:p>
            <w:pPr>
              <w:pStyle w:val="null3"/>
              <w:ind w:firstLine="420"/>
              <w:jc w:val="both"/>
            </w:pPr>
            <w:r>
              <w:rPr>
                <w:rFonts w:ascii="仿宋_GB2312" w:hAnsi="仿宋_GB2312" w:cs="仿宋_GB2312" w:eastAsia="仿宋_GB2312"/>
                <w:sz w:val="21"/>
              </w:rPr>
              <w:t>投标单位</w:t>
            </w:r>
            <w:r>
              <w:rPr>
                <w:rFonts w:ascii="仿宋_GB2312" w:hAnsi="仿宋_GB2312" w:cs="仿宋_GB2312" w:eastAsia="仿宋_GB2312"/>
                <w:sz w:val="21"/>
              </w:rPr>
              <w:t>具有独立法人资格，具有土地调查评估服务、技术服务，技术咨询的资质，</w:t>
            </w:r>
            <w:r>
              <w:rPr>
                <w:rFonts w:ascii="仿宋_GB2312" w:hAnsi="仿宋_GB2312" w:cs="仿宋_GB2312" w:eastAsia="仿宋_GB2312"/>
                <w:sz w:val="21"/>
              </w:rPr>
              <w:t>能运用空间地理信息技术。根据最新国土</w:t>
            </w:r>
            <w:r>
              <w:rPr>
                <w:rFonts w:ascii="仿宋_GB2312" w:hAnsi="仿宋_GB2312" w:cs="仿宋_GB2312" w:eastAsia="仿宋_GB2312"/>
                <w:sz w:val="21"/>
              </w:rPr>
              <w:t>“三调”耕地面积，在常规利用区、质量建设区（高标准农田建设区、退化耕地治理区）、耕地占补区及损毁破坏区等引起耕地质量明显变化的区域，以县域为单位，采用评价年度获得的基础数据，开展耕地质量年度变更调查评价。依据调查评价结果，分别核算耕地质量等级变动情况，对年度内不同质量等级耕地面积增减情况进行统计，更新耕地资源管理信息系统工作空间，根据各等级面积增减情况，核算耕地质量平均等级，编制耕地质量等级评价报告，填写自然资源资产负债表。</w:t>
            </w:r>
          </w:p>
          <w:p>
            <w:pPr>
              <w:pStyle w:val="null3"/>
              <w:spacing w:before="45"/>
              <w:ind w:right="285" w:firstLine="660"/>
            </w:pPr>
            <w:r>
              <w:rPr>
                <w:rFonts w:ascii="仿宋_GB2312" w:hAnsi="仿宋_GB2312" w:cs="仿宋_GB2312" w:eastAsia="仿宋_GB2312"/>
                <w:sz w:val="21"/>
                <w:b/>
              </w:rPr>
              <w:t>五、商务要求</w:t>
            </w:r>
          </w:p>
          <w:p>
            <w:pPr>
              <w:pStyle w:val="null3"/>
              <w:spacing w:before="45"/>
              <w:ind w:right="285" w:firstLine="660"/>
            </w:pPr>
            <w:r>
              <w:rPr>
                <w:rFonts w:ascii="仿宋_GB2312" w:hAnsi="仿宋_GB2312" w:cs="仿宋_GB2312" w:eastAsia="仿宋_GB2312"/>
                <w:sz w:val="21"/>
              </w:rPr>
              <w:t>（一）服务期限</w:t>
            </w:r>
          </w:p>
          <w:p>
            <w:pPr>
              <w:pStyle w:val="null3"/>
              <w:ind w:firstLine="420"/>
              <w:jc w:val="both"/>
            </w:pPr>
            <w:r>
              <w:rPr>
                <w:rFonts w:ascii="仿宋_GB2312" w:hAnsi="仿宋_GB2312" w:cs="仿宋_GB2312" w:eastAsia="仿宋_GB2312"/>
                <w:sz w:val="21"/>
              </w:rPr>
              <w:t>自合同签订之日起至</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11</w:t>
            </w:r>
            <w:r>
              <w:rPr>
                <w:rFonts w:ascii="仿宋_GB2312" w:hAnsi="仿宋_GB2312" w:cs="仿宋_GB2312" w:eastAsia="仿宋_GB2312"/>
                <w:sz w:val="21"/>
              </w:rPr>
              <w:t>月前结束。</w:t>
            </w:r>
          </w:p>
          <w:p>
            <w:pPr>
              <w:pStyle w:val="null3"/>
              <w:spacing w:before="45"/>
              <w:ind w:right="285" w:firstLine="660"/>
            </w:pPr>
            <w:r>
              <w:rPr>
                <w:rFonts w:ascii="仿宋_GB2312" w:hAnsi="仿宋_GB2312" w:cs="仿宋_GB2312" w:eastAsia="仿宋_GB2312"/>
                <w:sz w:val="21"/>
              </w:rPr>
              <w:t>（二）款项结算</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、合同签订后，达到付款条件</w:t>
            </w:r>
            <w:r>
              <w:rPr>
                <w:rFonts w:ascii="仿宋_GB2312" w:hAnsi="仿宋_GB2312" w:cs="仿宋_GB2312" w:eastAsia="仿宋_GB2312"/>
                <w:sz w:val="21"/>
              </w:rPr>
              <w:t>10</w:t>
            </w:r>
            <w:r>
              <w:rPr>
                <w:rFonts w:ascii="仿宋_GB2312" w:hAnsi="仿宋_GB2312" w:cs="仿宋_GB2312" w:eastAsia="仿宋_GB2312"/>
                <w:sz w:val="21"/>
              </w:rPr>
              <w:t>日内，支付合同总金额的</w:t>
            </w:r>
            <w:r>
              <w:rPr>
                <w:rFonts w:ascii="仿宋_GB2312" w:hAnsi="仿宋_GB2312" w:cs="仿宋_GB2312" w:eastAsia="仿宋_GB2312"/>
                <w:sz w:val="21"/>
              </w:rPr>
              <w:t>40%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       2</w:t>
            </w:r>
            <w:r>
              <w:rPr>
                <w:rFonts w:ascii="仿宋_GB2312" w:hAnsi="仿宋_GB2312" w:cs="仿宋_GB2312" w:eastAsia="仿宋_GB2312"/>
                <w:sz w:val="21"/>
              </w:rPr>
              <w:t>、项目验收合格后，达到付款条件</w:t>
            </w:r>
            <w:r>
              <w:rPr>
                <w:rFonts w:ascii="仿宋_GB2312" w:hAnsi="仿宋_GB2312" w:cs="仿宋_GB2312" w:eastAsia="仿宋_GB2312"/>
                <w:sz w:val="21"/>
              </w:rPr>
              <w:t>10</w:t>
            </w:r>
            <w:r>
              <w:rPr>
                <w:rFonts w:ascii="仿宋_GB2312" w:hAnsi="仿宋_GB2312" w:cs="仿宋_GB2312" w:eastAsia="仿宋_GB2312"/>
                <w:sz w:val="21"/>
              </w:rPr>
              <w:t>日内，支付合同总金额的</w:t>
            </w:r>
            <w:r>
              <w:rPr>
                <w:rFonts w:ascii="仿宋_GB2312" w:hAnsi="仿宋_GB2312" w:cs="仿宋_GB2312" w:eastAsia="仿宋_GB2312"/>
                <w:sz w:val="21"/>
              </w:rPr>
              <w:t>60%</w:t>
            </w:r>
            <w:r>
              <w:rPr>
                <w:rFonts w:ascii="仿宋_GB2312" w:hAnsi="仿宋_GB2312" w:cs="仿宋_GB2312" w:eastAsia="仿宋_GB2312"/>
                <w:sz w:val="21"/>
              </w:rPr>
              <w:t>。</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自合同签订之日起至2025年11月前结束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为保证项目顺利备案，成交供应商在领取纸质版成交通知书时，需提供纸质版响应文件一正两副，电子版二份。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磋商主体证明文件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法定代表人参加磋商的，须出具法定代表人身份证明书及身份证。法定代表人授权委托人参加磋商的，须出具法定代表人授权委托书及授权委托人身份证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提供2024年度经审计的财务报告（成立时间至响应文件递交截止时间不足一年的可提供成立后任意时段的资产负债表），或提供响应文递交截止日前三个月内其基本存款账户开户银行出具的资信证明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依法缴纳税收的证明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依法缴纳社保的证明</w:t>
            </w:r>
          </w:p>
        </w:tc>
        <w:tc>
          <w:tcPr>
            <w:tcW w:type="dxa" w:w="3322"/>
          </w:tcPr>
          <w:p>
            <w:pPr>
              <w:pStyle w:val="null3"/>
            </w:pPr>
            <w:r>
              <w:rPr>
                <w:rFonts w:ascii="仿宋_GB2312" w:hAnsi="仿宋_GB2312" w:cs="仿宋_GB2312" w:eastAsia="仿宋_GB2312"/>
              </w:rPr>
              <w:t>依法缴纳社保的证明：提供递交响应文件截止之日前一年内任意一个月的社会保障资金缴纳证明，依法不需要缴纳社会保障资金的供应商应提供相关文件证明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供应商需在项目电子化交易系统中提供具备履行合同所必需的设备和专业技术能力的承诺并进行电子签章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本项目不接受联合体投标；（提供书面承诺，加盖供应商公章）。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控股管理关系及其他</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响应文件上法定代表人或被授权人的签字齐全并加盖公章。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类似业绩一览表.docx 其他相关资料.docx 资格证明文件.docx 响应文件封面 残疾人福利性单位声明函 服务方案 标的清单 供应商拒绝政府采购领域商业贿赂承诺书.docx 项目实施人员情况表.docx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类似业绩一览表.docx 其他相关资料.docx 资格证明文件.docx 响应文件封面 残疾人福利性单位声明函 服务方案 标的清单 供应商拒绝政府采购领域商业贿赂承诺书.docx 项目实施人员情况表.docx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类似业绩一览表.docx 其他相关资料.docx 资格证明文件.docx 响应文件封面 残疾人福利性单位声明函 服务方案 标的清单 供应商拒绝政府采购领域商业贿赂承诺书.docx 项目实施人员情况表.docx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不能有采购人不能接受的附加条件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类似业绩一览表.docx 其他相关资料.docx 资格证明文件.docx 响应文件封面 残疾人福利性单位声明函 服务方案 标的清单 供应商拒绝政府采购领域商业贿赂承诺书.docx 项目实施人员情况表.docx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 。</w:t>
            </w:r>
          </w:p>
        </w:tc>
        <w:tc>
          <w:tcPr>
            <w:tcW w:type="dxa" w:w="1661"/>
          </w:tcPr>
          <w:p>
            <w:pPr>
              <w:pStyle w:val="null3"/>
            </w:pPr>
            <w:r>
              <w:rPr>
                <w:rFonts w:ascii="仿宋_GB2312" w:hAnsi="仿宋_GB2312" w:cs="仿宋_GB2312" w:eastAsia="仿宋_GB2312"/>
              </w:rPr>
              <w:t>商务应答表 服务方案</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①调查服务分析及目标 ②调查工作范围及计划安排 ③重难点分析及解决措施 二、评审标准 ①完整性：方案须全面，对评审内容中的各项要求有详细描述及投标方案说明； ②可实施性：切合本项目实际情况，实施步骤清晰、合理； ③针对性：方案能够紧扣项目实际情况，内容科学合理。 三、赋分标准 ①调查服务分析及目标 ：每完全满足一项评审标准得2分，存在瑕疵得1分，满分6分； ②调查工作范围及计划安排 ：每完全满足一项评审标准得2分， 存在瑕疵得1分，满分6分； ③重难点分析及解决措施：每完全满足一项评审标准得2分，存在瑕疵得1分，满分6分。 瑕疵是指存在不完全满足评分标准，但项目仍可实施</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调查评价服务方案</w:t>
            </w:r>
          </w:p>
        </w:tc>
        <w:tc>
          <w:tcPr>
            <w:tcW w:type="dxa" w:w="2492"/>
          </w:tcPr>
          <w:p>
            <w:pPr>
              <w:pStyle w:val="null3"/>
            </w:pPr>
            <w:r>
              <w:rPr>
                <w:rFonts w:ascii="仿宋_GB2312" w:hAnsi="仿宋_GB2312" w:cs="仿宋_GB2312" w:eastAsia="仿宋_GB2312"/>
              </w:rPr>
              <w:t>一、评审内容 提出针对本项目的调查服务方案，内容包括： ①资料收集及数据处理 ②建设耕地评价工作空间 ③耕地质量等级评价报告编制及专题地图编制 二、评审标准 1、完整性：方案须全面，对评审内容中的各项要求有详细描述及 说明； 2、可实施性：切合本项目实际情况，实施步骤清晰、合理； 3、针对性：方案能够紧扣项目实际情况，内容科学合理。 三、赋分标准（满分18分） ①资料收集及数据处理费 ：每完全满足一项评审标准得2分，存在瑕疵得1分，满分6分； ②建设耕地评价工作空间：每完全满足一项评审标准得2分，存在瑕疵得1分，满分6 分； ③耕地质量等级评价报告编制及专题地图编制：每完全满足一项评审标准得2分，存在瑕疵得1分，满分6分。 瑕疵是指存在不完全满足评分标准，但项目仍可实施</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进度计划控制方案</w:t>
            </w:r>
          </w:p>
        </w:tc>
        <w:tc>
          <w:tcPr>
            <w:tcW w:type="dxa" w:w="2492"/>
          </w:tcPr>
          <w:p>
            <w:pPr>
              <w:pStyle w:val="null3"/>
            </w:pPr>
            <w:r>
              <w:rPr>
                <w:rFonts w:ascii="仿宋_GB2312" w:hAnsi="仿宋_GB2312" w:cs="仿宋_GB2312" w:eastAsia="仿宋_GB2312"/>
              </w:rPr>
              <w:t>一、评审内容 结合本项目特点，制定科学合理的进度计划控制方案，方案包含： ①总体及各阶段时间节点控制方法 ②调查进度检查和评价措施 二、评审标准 1、完整性：方案须全面，对评审内容中的各项要求有详细描述及说明； 2、可实施性：切合本项目实际情况，实施步骤清晰、合理； 3、针对性：方案能够紧扣项目实际情况，内容科学合理。 三、赋分标准（满分6分） ①总体及各阶段时间节点控制方法：每完全满足一项评审标准得1 分，存在瑕疵得0.5分，满分3分； ②调查进度检查和评价措施：每完全满足一项评审标准得1分， 存在瑕疵得0.5分，满分3分。 瑕疵是指存在不完全满足评分标准，但项目仍可实施。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对本项目拟投入的设备仪器</w:t>
            </w:r>
          </w:p>
        </w:tc>
        <w:tc>
          <w:tcPr>
            <w:tcW w:type="dxa" w:w="2492"/>
          </w:tcPr>
          <w:p>
            <w:pPr>
              <w:pStyle w:val="null3"/>
            </w:pPr>
            <w:r>
              <w:rPr>
                <w:rFonts w:ascii="仿宋_GB2312" w:hAnsi="仿宋_GB2312" w:cs="仿宋_GB2312" w:eastAsia="仿宋_GB2312"/>
              </w:rPr>
              <w:t>对本项目拟投入的设备仪器（6分） 一、评审内容 投标人针对本项目拟投入仪器设备配备情况 二、评审标准 1、完整性：投入的设备仪器须全面； 2、可实施性：投入的设备仪器切合本项目实际情况； 3、针对性：投入的设备仪器能够紧扣项目实际情况，科学合理。 三、赋分标准（满分3分） 每完全满足一项评审标准得2分，满分6分。 （提供设备、仪器所有权证明材料，发票、租用证明复印件等）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针对本项目采购需求中的人员要求提供团队人员配备方案，包括但不限于①团队组织架构；②人员构成及分工；③工作人员从业经验。 方案各部分内容全面、阐述条理清晰详尽、符合本项目采购需求且描述详细可行性强得6分； 以上分项每缺少一项内容扣2分； 有某一项不完整或不符合实际要求或不满足实施要求或套用其他项目内容的每项得1分； 未提供不得分。 注：1、须提供项目团队人员名单（包括姓名、工作职责、联系方式等），否则不得分。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项目实施人员情况表.docx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 针对本项目制定保密方案，方案包括： ①保密管理制度 ②特殊人员的保密措施 二、评审标准 1、完整性：方案必须全面，对评审内容中的各项要求有详细描述； 2、可实施性：切合本项目实际情况，提出步骤清晰、合理的方案； 3、针对性：方案能够紧扣项目实际情况，内容科学合理。 三、赋分标准（满分3分） ①保密管理制度：每完全满足一个评审标准得1分，满分3 分； ②特殊人员的保密措施：每完全满足一个评审标准得1分，满分3分。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供应商承诺</w:t>
            </w:r>
          </w:p>
        </w:tc>
        <w:tc>
          <w:tcPr>
            <w:tcW w:type="dxa" w:w="2492"/>
          </w:tcPr>
          <w:p>
            <w:pPr>
              <w:pStyle w:val="null3"/>
            </w:pPr>
            <w:r>
              <w:rPr>
                <w:rFonts w:ascii="仿宋_GB2312" w:hAnsi="仿宋_GB2312" w:cs="仿宋_GB2312" w:eastAsia="仿宋_GB2312"/>
              </w:rPr>
              <w:t>1、承诺接受采购人对本项目服务的考核、监督及管理，定期调研 采购人对服务质量的满意度并加以改进，确保服务工作的优质高效，得1分。无承诺不得分。 2、承诺上岗人员固定，不随意更换，若出现服务人员因事、病等 不能工作的，能及时调整其他服务人员补充，可保障临时性工作 需要及突发事件处置，确保服务工作的正常进行，得1分。无承诺不得分。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项目保障方案</w:t>
            </w:r>
          </w:p>
        </w:tc>
        <w:tc>
          <w:tcPr>
            <w:tcW w:type="dxa" w:w="2492"/>
          </w:tcPr>
          <w:p>
            <w:pPr>
              <w:pStyle w:val="null3"/>
            </w:pPr>
            <w:r>
              <w:rPr>
                <w:rFonts w:ascii="仿宋_GB2312" w:hAnsi="仿宋_GB2312" w:cs="仿宋_GB2312" w:eastAsia="仿宋_GB2312"/>
              </w:rPr>
              <w:t>一、评审内容 针对本项目提出项目保障方案，方案包含： ①质量保障措施 ②安全保障措施 二、评审标准 1、完整性：方案须全面，对评审内容中的各项要求有详细描述及 说明； 2、可实施性：切合本项目实际情况，实施步骤清晰、合理； 3、针对性：方案能够紧扣项目实际情况，内容科学合理。 三、赋分标准（满分6分） ①质量保障措施：每完全满足一项评审标准得1分，存在瑕疵得 0.5 分，满分3分； ②安全保障措施：每完全满足一项评审标准得1分，存在瑕疵得 0.5 分，满分3分。 瑕疵是指存在不完全满足评分标准，但项目仍可实施。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人员管理方案</w:t>
            </w:r>
          </w:p>
        </w:tc>
        <w:tc>
          <w:tcPr>
            <w:tcW w:type="dxa" w:w="2492"/>
          </w:tcPr>
          <w:p>
            <w:pPr>
              <w:pStyle w:val="null3"/>
            </w:pPr>
            <w:r>
              <w:rPr>
                <w:rFonts w:ascii="仿宋_GB2312" w:hAnsi="仿宋_GB2312" w:cs="仿宋_GB2312" w:eastAsia="仿宋_GB2312"/>
              </w:rPr>
              <w:t>人员管理方案（9分） 一、评审内容 供应商针对本项目具有良好的管理制度，方案包含： ①工作标准：具有岗位工作标准、服务质量标准 ②内控制度：问责机制、监督机制、自查制度 ③人员管理制度：具有员工日常管理办法、请销假制度、奖惩措 施、激励机制。 二、评审标准 完整性：方案须全面，对评审内容中的各项要求有详细描述及 说明； 可实施性：切合本项目实际情况，实施步骤清晰、合理； 针对性：方案能够紧扣项目实际情况，内容科学合理。 三、赋分标准（满分9分） ①工作标准：每完全满足一个评审标准得1分，满分3分； ②内控制度：每完全满足一个评审标准得1分，满分3分； ③人员管理制度：每完全满足一个评审标准得1分，满分3分。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供应商提供2022年01月01日至今类似项目业绩，以合同签订时间为准，提供业绩合同复印件并加盖公章，每提供1份得2分，满分10分。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类似业绩一览表.docx</w:t>
            </w:r>
          </w:p>
        </w:tc>
      </w:tr>
      <w:tr>
        <w:tc>
          <w:tcPr>
            <w:tcW w:type="dxa" w:w="831"/>
            <w:vMerge/>
          </w:tcPr>
          <w:p/>
        </w:tc>
        <w:tc>
          <w:tcPr>
            <w:tcW w:type="dxa" w:w="1661"/>
          </w:tcPr>
          <w:p>
            <w:pPr>
              <w:pStyle w:val="null3"/>
            </w:pPr>
            <w:r>
              <w:rPr>
                <w:rFonts w:ascii="仿宋_GB2312" w:hAnsi="仿宋_GB2312" w:cs="仿宋_GB2312" w:eastAsia="仿宋_GB2312"/>
              </w:rPr>
              <w:t>交付成果</w:t>
            </w:r>
          </w:p>
        </w:tc>
        <w:tc>
          <w:tcPr>
            <w:tcW w:type="dxa" w:w="2492"/>
          </w:tcPr>
          <w:p>
            <w:pPr>
              <w:pStyle w:val="null3"/>
            </w:pPr>
            <w:r>
              <w:rPr>
                <w:rFonts w:ascii="仿宋_GB2312" w:hAnsi="仿宋_GB2312" w:cs="仿宋_GB2312" w:eastAsia="仿宋_GB2312"/>
              </w:rPr>
              <w:t>工作成果内容、报告处理及送达，报告内容全面，评审委员会根据响应情况综合打分，每满足一项得1分，存在瑕疵得 0.5 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其他相关资料.docx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详见附件：类似业绩一览表.docx</w:t>
      </w:r>
    </w:p>
    <w:p>
      <w:pPr>
        <w:pStyle w:val="null3"/>
        <w:ind w:firstLine="960"/>
      </w:pPr>
      <w:r>
        <w:rPr>
          <w:rFonts w:ascii="仿宋_GB2312" w:hAnsi="仿宋_GB2312" w:cs="仿宋_GB2312" w:eastAsia="仿宋_GB2312"/>
        </w:rPr>
        <w:t>详见附件：其他相关资料.docx</w:t>
      </w:r>
    </w:p>
    <w:p>
      <w:pPr>
        <w:pStyle w:val="null3"/>
        <w:ind w:firstLine="960"/>
      </w:pPr>
      <w:r>
        <w:rPr>
          <w:rFonts w:ascii="仿宋_GB2312" w:hAnsi="仿宋_GB2312" w:cs="仿宋_GB2312" w:eastAsia="仿宋_GB2312"/>
        </w:rPr>
        <w:t>详见附件：项目实施人员情况表.docx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