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版本号：ZY2025-ZB-CS1080.1B120250811001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2025年度西安市耕地保护“田长制”管控体系支撑项目(二次)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ZY2025-ZB-CS1080.1B1</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2025年度西安市耕地保护“田长制”管控体系支撑项目(二次)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ZY2025-ZB-CS1080.1B1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2025年度西安市耕地保护“田长制”管控体系支撑项目(二次)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市委办公厅、市政府办公厅《全面建立耕地保护田长制的实施方案》要求，为切实加强耕地和永久基本农田日常监管，完善人地关联工作机制，强化巡田技术支撑，有效提高田长制管理水平，及时掌握耕地和永久基本农田动态变化，强化源头管控，西安拟实施耕地保护“田长制”管控体系支撑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采购包1（2025年度西安市耕地保护“田长制”管控体系支撑项目）：属于专门面向中小企业采购。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3、税收缴纳证明：提供2025年1月至今已缴纳的至少三个月的纳税证明（时间以税款所属日期为准)，依法免税的单位应提供相关证明材料。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8、授权委托书：法定代表人授权委托书、被授权人身份证(法定代表人参加开标时,只需提供法定代表人身份证；被授权人参加开标时，须提供开标前三个月内任意一个月的基本养老保险参保缴费证明。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8000.00元按照8000计取。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联系电话：029-86210100转809</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市委办公厅、市政府办公厅《全面建立耕地保护田长制的实施方案》要求，为切实加强耕地和永久基本农田日常监管，完善人地关联工作机制，强化巡田技术支撑，有效提高田长制管理水平，及时掌握耕地和永久基本农田动态变化，强化源头管控，西安拟实施耕地保护“田长制”管控体系支撑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482,000.00</w:t>
      </w:r>
    </w:p>
    <w:p>
      <w:pPr>
        <w:pStyle w:val="null3"/>
      </w:pPr>
      <w:r>
        <w:rPr>
          <w:rFonts w:ascii="仿宋_GB2312" w:hAnsi="仿宋_GB2312" w:cs="仿宋_GB2312" w:eastAsia="仿宋_GB2312"/>
        </w:rPr>
        <w:t>采购包最高限价（元）: 482,000.00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2025年度西安市耕地保护“田长制”管控体系支撑项目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标的名称：2025年度西安市耕地保护“田长制”管控体系支撑项目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按照市委办公厅、市政府办公厅《全面建立耕地保护田长制的实施方案》要求，为切实加强耕地和永久基本农田日常监管，完善人地关联工作机制，强化巡田技术支撑，有效提高田长制管理水平，及时掌握耕地和永久基本农田动态变化，强化源头管控，西安拟实施耕地保护“田长制”管控体系支撑项目。</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二、服务内容（包括工作区域、工作内容等）</w:t>
            </w:r>
          </w:p>
          <w:p>
            <w:pPr>
              <w:pStyle w:val="null3"/>
              <w:jc w:val="both"/>
            </w:pPr>
            <w:r>
              <w:rPr>
                <w:rFonts w:ascii="仿宋_GB2312" w:hAnsi="仿宋_GB2312" w:cs="仿宋_GB2312" w:eastAsia="仿宋_GB2312"/>
                <w:sz w:val="24"/>
              </w:rPr>
              <w:t>（一）耕地保护管理数据动态更新维护</w:t>
            </w:r>
          </w:p>
          <w:p>
            <w:pPr>
              <w:pStyle w:val="null3"/>
              <w:jc w:val="both"/>
            </w:pPr>
            <w:r>
              <w:rPr>
                <w:rFonts w:ascii="仿宋_GB2312" w:hAnsi="仿宋_GB2312" w:cs="仿宋_GB2312" w:eastAsia="仿宋_GB2312"/>
                <w:sz w:val="24"/>
              </w:rPr>
              <w:t>1、结合“三区三线”划定成果、永久基本农田核实处置数据、年度变更调查等数据，对耕地、永久基本农田、耕地保护目标数据进行筛查，及时完成有合法手续耕地、永久基本农田的迁入迁出；基于耕地、永久基本农田、耕地保护目标数据，整合形成西安市耕地保护一张底图；结合村界调整结果，完成田长制管理网格边界划分。</w:t>
            </w:r>
          </w:p>
          <w:p>
            <w:pPr>
              <w:pStyle w:val="null3"/>
              <w:jc w:val="both"/>
            </w:pPr>
            <w:r>
              <w:rPr>
                <w:rFonts w:ascii="仿宋_GB2312" w:hAnsi="仿宋_GB2312" w:cs="仿宋_GB2312" w:eastAsia="仿宋_GB2312"/>
                <w:sz w:val="24"/>
              </w:rPr>
              <w:t>2、数据库建设。将耕地、永久基本农田、耕地保护目标数据、西安市耕地保护一张底图、疑似违法变化图斑数据按西安市田长制管理网格拆分。以“田长一张图”信息资源库管理标准，调整各数据相互之间的链接属性内容，完成数据进行质检，确保数据关联性完整，准确。</w:t>
            </w:r>
          </w:p>
          <w:p>
            <w:pPr>
              <w:pStyle w:val="null3"/>
              <w:jc w:val="both"/>
            </w:pPr>
            <w:r>
              <w:rPr>
                <w:rFonts w:ascii="仿宋_GB2312" w:hAnsi="仿宋_GB2312" w:cs="仿宋_GB2312" w:eastAsia="仿宋_GB2312"/>
                <w:sz w:val="24"/>
              </w:rPr>
              <w:t>（二）开展田长制管控体系支撑工作</w:t>
            </w:r>
          </w:p>
          <w:p>
            <w:pPr>
              <w:pStyle w:val="null3"/>
              <w:jc w:val="both"/>
            </w:pPr>
            <w:r>
              <w:rPr>
                <w:rFonts w:ascii="仿宋_GB2312" w:hAnsi="仿宋_GB2312" w:cs="仿宋_GB2312" w:eastAsia="仿宋_GB2312"/>
                <w:sz w:val="24"/>
              </w:rPr>
              <w:t>1、维护“田长一张图”的信息资源库。定期对信息资源库管理维护，完成数据更新入库、服务发布。</w:t>
            </w:r>
          </w:p>
          <w:p>
            <w:pPr>
              <w:pStyle w:val="null3"/>
              <w:jc w:val="both"/>
            </w:pPr>
            <w:r>
              <w:rPr>
                <w:rFonts w:ascii="仿宋_GB2312" w:hAnsi="仿宋_GB2312" w:cs="仿宋_GB2312" w:eastAsia="仿宋_GB2312"/>
                <w:sz w:val="24"/>
              </w:rPr>
              <w:t>2、支撑田长日常工作。协助田长办以任务事件管理为周期，建立核查任务，进行任务派发，处理和反馈。持续协助各级田长、网格员日常工作，支撑工作人员完成日常巡查、巡查事件上报、派发任务处理等工作内容记录、流程化处理与反馈。</w:t>
            </w:r>
          </w:p>
          <w:p>
            <w:pPr>
              <w:pStyle w:val="null3"/>
              <w:jc w:val="both"/>
            </w:pPr>
            <w:r>
              <w:rPr>
                <w:rFonts w:ascii="仿宋_GB2312" w:hAnsi="仿宋_GB2312" w:cs="仿宋_GB2312" w:eastAsia="仿宋_GB2312"/>
                <w:sz w:val="24"/>
              </w:rPr>
              <w:t>3、支撑田长制考核。动态记录各级田长、网格员巡田任务处理情况、巡田路线、巡田时间及巡查面积，依据考核机制，按照周、月、季度、年度对各级田长的考核结果进行排名和图表展示，并提供统计结果。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三、技术要求</w:t>
            </w:r>
          </w:p>
          <w:p>
            <w:pPr>
              <w:pStyle w:val="null3"/>
              <w:jc w:val="both"/>
            </w:pPr>
            <w:r>
              <w:rPr>
                <w:rFonts w:ascii="仿宋_GB2312" w:hAnsi="仿宋_GB2312" w:cs="仿宋_GB2312" w:eastAsia="仿宋_GB2312"/>
                <w:sz w:val="24"/>
              </w:rPr>
              <w:t>遵循已有的数据库建设标准与规范，针对西安市耕地和永久基本农田更新维护与“田长制”管控体系建设项目的具体需要，须建立符合本次项目需求的数据库建设标准和规范，同时规范数据汇交与数据更新流程，形成数据服务与更新机制;根据项目需求和技术特点，设计合理、高效、稳定的服务结构，确保服务的及时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四、服务要求</w:t>
            </w:r>
          </w:p>
          <w:p>
            <w:pPr>
              <w:pStyle w:val="null3"/>
              <w:jc w:val="both"/>
            </w:pPr>
            <w:r>
              <w:rPr>
                <w:rFonts w:ascii="仿宋_GB2312" w:hAnsi="仿宋_GB2312" w:cs="仿宋_GB2312" w:eastAsia="仿宋_GB2312"/>
                <w:sz w:val="24"/>
              </w:rPr>
              <w:t>1、应符合国家有关建设标准强制性条文及有关规范、规定;</w:t>
            </w:r>
          </w:p>
          <w:p>
            <w:pPr>
              <w:pStyle w:val="null3"/>
              <w:jc w:val="both"/>
            </w:pPr>
            <w:r>
              <w:rPr>
                <w:rFonts w:ascii="仿宋_GB2312" w:hAnsi="仿宋_GB2312" w:cs="仿宋_GB2312" w:eastAsia="仿宋_GB2312"/>
                <w:sz w:val="24"/>
              </w:rPr>
              <w:t>2、应满足国家及地方现行的有关标准、规范、办法;</w:t>
            </w:r>
          </w:p>
          <w:p>
            <w:pPr>
              <w:pStyle w:val="null3"/>
              <w:jc w:val="both"/>
            </w:pPr>
            <w:r>
              <w:rPr>
                <w:rFonts w:ascii="仿宋_GB2312" w:hAnsi="仿宋_GB2312" w:cs="仿宋_GB2312" w:eastAsia="仿宋_GB2312"/>
                <w:sz w:val="24"/>
              </w:rPr>
              <w:t>3、需建立规范化、标准化、制度化的服务标准，及时响应、及时支撑、及时处理；</w:t>
            </w:r>
          </w:p>
          <w:p>
            <w:pPr>
              <w:pStyle w:val="null3"/>
              <w:jc w:val="both"/>
            </w:pPr>
            <w:r>
              <w:rPr>
                <w:rFonts w:ascii="仿宋_GB2312" w:hAnsi="仿宋_GB2312" w:cs="仿宋_GB2312" w:eastAsia="仿宋_GB2312"/>
                <w:sz w:val="24"/>
              </w:rPr>
              <w:t>4、服务人员应有相关关自然资源领域的数据库建设、体系建设、系统建设等方面工作经验；</w:t>
            </w:r>
          </w:p>
          <w:p>
            <w:pPr>
              <w:pStyle w:val="null3"/>
              <w:jc w:val="both"/>
            </w:pPr>
            <w:r>
              <w:rPr>
                <w:rFonts w:ascii="仿宋_GB2312" w:hAnsi="仿宋_GB2312" w:cs="仿宋_GB2312" w:eastAsia="仿宋_GB2312"/>
                <w:sz w:val="24"/>
              </w:rPr>
              <w:t>5、提供1名驻场服务人员。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五、商务要求</w:t>
            </w:r>
          </w:p>
          <w:p>
            <w:pPr>
              <w:pStyle w:val="null3"/>
              <w:jc w:val="both"/>
            </w:pPr>
            <w:r>
              <w:rPr>
                <w:rFonts w:ascii="仿宋_GB2312" w:hAnsi="仿宋_GB2312" w:cs="仿宋_GB2312" w:eastAsia="仿宋_GB2312"/>
                <w:sz w:val="24"/>
              </w:rPr>
              <w:t>1、服务期限：自合同签订之日起至2025年12月31日止。</w:t>
            </w:r>
          </w:p>
          <w:p>
            <w:pPr>
              <w:pStyle w:val="null3"/>
              <w:jc w:val="both"/>
            </w:pPr>
            <w:r>
              <w:rPr>
                <w:rFonts w:ascii="仿宋_GB2312" w:hAnsi="仿宋_GB2312" w:cs="仿宋_GB2312" w:eastAsia="仿宋_GB2312"/>
                <w:sz w:val="24"/>
              </w:rPr>
              <w:t>2、款项结算</w:t>
            </w:r>
          </w:p>
          <w:p>
            <w:pPr>
              <w:pStyle w:val="null3"/>
              <w:jc w:val="both"/>
            </w:pPr>
            <w:r>
              <w:rPr>
                <w:rFonts w:ascii="仿宋_GB2312" w:hAnsi="仿宋_GB2312" w:cs="仿宋_GB2312" w:eastAsia="仿宋_GB2312"/>
                <w:sz w:val="24"/>
              </w:rPr>
              <w:t>完成采购签订合同后，支付合同预付款，即合同总价款的60%；完成合同约定的所有服务内容，通过市级项目验收后，支付合同尾款，即合同总价款的40%。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六、其他</w:t>
            </w:r>
          </w:p>
          <w:p>
            <w:pPr>
              <w:pStyle w:val="null3"/>
              <w:jc w:val="both"/>
            </w:pPr>
            <w:r>
              <w:rPr>
                <w:rFonts w:ascii="仿宋_GB2312" w:hAnsi="仿宋_GB2312" w:cs="仿宋_GB2312" w:eastAsia="仿宋_GB2312"/>
                <w:sz w:val="24"/>
              </w:rPr>
              <w:t>（一）进度要求</w:t>
            </w:r>
          </w:p>
          <w:p>
            <w:pPr>
              <w:pStyle w:val="null3"/>
              <w:jc w:val="both"/>
            </w:pPr>
            <w:r>
              <w:rPr>
                <w:rFonts w:ascii="仿宋_GB2312" w:hAnsi="仿宋_GB2312" w:cs="仿宋_GB2312" w:eastAsia="仿宋_GB2312"/>
                <w:sz w:val="24"/>
              </w:rPr>
              <w:t>1、2025年8月底前，全面查清我市辖区范围内保护耕地的空间分布、面积、类型等内容，结合区县村界调整结果，开展本辖区耕地保护目标及管理网格划分工作，形成本辖区耕地保护管理数据成果。</w:t>
            </w:r>
          </w:p>
          <w:p>
            <w:pPr>
              <w:pStyle w:val="null3"/>
              <w:jc w:val="both"/>
            </w:pPr>
            <w:r>
              <w:rPr>
                <w:rFonts w:ascii="仿宋_GB2312" w:hAnsi="仿宋_GB2312" w:cs="仿宋_GB2312" w:eastAsia="仿宋_GB2312"/>
                <w:sz w:val="24"/>
              </w:rPr>
              <w:t>2、2025年12月底前，持续开展我市田长制管控体系支撑工作，协助田长办日常管理、考核工作；支撑各级田长、网格员完成日常巡查、巡查事件上报、派发任务处理等工作内容记录、流程化处理与反馈。</w:t>
            </w:r>
          </w:p>
          <w:p>
            <w:pPr>
              <w:pStyle w:val="null3"/>
              <w:jc w:val="both"/>
            </w:pPr>
            <w:r>
              <w:rPr>
                <w:rFonts w:ascii="仿宋_GB2312" w:hAnsi="仿宋_GB2312" w:cs="仿宋_GB2312" w:eastAsia="仿宋_GB2312"/>
                <w:sz w:val="24"/>
              </w:rPr>
              <w:t>3、2025年12月底前，将所有成果汇总，按照市局的要求建立数据库，所有耕地保护数据、管理网格数据入库，组织成果验收。</w:t>
            </w:r>
          </w:p>
          <w:p>
            <w:pPr>
              <w:pStyle w:val="null3"/>
              <w:jc w:val="both"/>
            </w:pPr>
            <w:r>
              <w:rPr>
                <w:rFonts w:ascii="仿宋_GB2312" w:hAnsi="仿宋_GB2312" w:cs="仿宋_GB2312" w:eastAsia="仿宋_GB2312"/>
                <w:sz w:val="24"/>
              </w:rPr>
              <w:t>（二）成果交付要求</w:t>
            </w:r>
          </w:p>
          <w:p>
            <w:pPr>
              <w:pStyle w:val="null3"/>
              <w:jc w:val="both"/>
            </w:pPr>
            <w:r>
              <w:rPr>
                <w:rFonts w:ascii="仿宋_GB2312" w:hAnsi="仿宋_GB2312" w:cs="仿宋_GB2312" w:eastAsia="仿宋_GB2312"/>
                <w:sz w:val="24"/>
              </w:rPr>
              <w:t>1、耕地与田长制管理网格化划分成果数据库1套。</w:t>
            </w:r>
          </w:p>
          <w:p>
            <w:pPr>
              <w:pStyle w:val="null3"/>
              <w:jc w:val="both"/>
            </w:pPr>
            <w:r>
              <w:rPr>
                <w:rFonts w:ascii="仿宋_GB2312" w:hAnsi="仿宋_GB2312" w:cs="仿宋_GB2312" w:eastAsia="仿宋_GB2312"/>
                <w:sz w:val="24"/>
              </w:rPr>
              <w:t>2、田长制管理人员台账1套。</w:t>
            </w:r>
          </w:p>
          <w:p>
            <w:pPr>
              <w:pStyle w:val="null3"/>
              <w:jc w:val="both"/>
            </w:pPr>
            <w:r>
              <w:rPr>
                <w:rFonts w:ascii="仿宋_GB2312" w:hAnsi="仿宋_GB2312" w:cs="仿宋_GB2312" w:eastAsia="仿宋_GB2312"/>
                <w:sz w:val="24"/>
              </w:rPr>
              <w:t>3、《西安市田长制管理网格责任划分图册》图册1套。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考核标准：1、符合国家有关建设标准强制性条文及有关规范、规定; 2、满足国家及地方现行的有关标准、规范、办法; 验收办法：成交供应商提交项目所有的成果报告后，由采购人和成交供应商共同对项目进行整体验收。其内容包括是否按照采购人要求进行服务、是否在规定时间内服务完毕。 其他事项： 1、服务商向采购人提供服务过程中的所有资料,以便采购人日后管理。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完成采购签订合同后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完成合同约定的所有服务内容，通过市级项目验收后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3.4.2（响应文件格式-标的清单）本项目服务范围：2025年度西安市耕地保护“田长制”管控体系支撑项目；服务要求：符合采购文件有关技术、商务要求；服务标准：符合国家和省、市有关行业标准及采购人的有关规定。 3.4.3付款方式（支付约定）以磋商文件“第三章 磋商项目技术、服务、商务及其他要求-技术参数与性能指标-款项结算”为准。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提供2025年1月至今已缴纳的至少三个月的纳税证明（时间以税款所属日期为准)，依法免税的单位应提供相关证明材料。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法定代表人授权委托书、被授权人身份证(法定代表人参加开标时,只需提供法定代表人身份证；被授权人参加开标时，须提供开标前三个月内任意一个月的基本养老保险参保缴费证明。</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区间分值0-8分。 评审标准细化内容： 包括但不限于①项目背景；②服务内容；③技术要求、商务要求及服务要求；④进度及成果交付要求等进行综合评审。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（1）各部分内容全面详细、阐述条理清晰详尽、符合本项目采购需求得8分； （2）评审标准细化内容每缺少一项扣2分； （3）评审标准细化内容内容缺失不得分，每有一项理解的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区间分值：0-35分。 评审标准细化内容： 包括但不限于①数据筛查方案；②数据整合方案；③数据库建设及更新方案；④信息资源库管理维护方案；⑤与田长工作配合实施方案⑥田长制考核支撑方案⑦项目成果资料统筹及交付方案等内容；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（1）各部分内容全面详细、阐述条理清晰详尽、符合本项目采购需求得35分； （2）评审标准细化内容每缺少一项内容扣5分； （3）评审标准细化内容缺失则不得分，每有一项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区间分值：0-5分。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区间分值0-5分。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区间分值：0-12分。 评审标准细化及量化内容： 1、项目负责人：同时具备主管部门颁发的测绘专业高级工程师（含高级）以上职称证书、注册测绘师资格证书计5分。注：提供项目负责人相关证书复印件，开标日期前三个月内供应商为其缴纳的至少一个月的社保缴纳证明，不提供或提供不全不得分。 2、项目人员：项目人员（不包含项目负责人）具有地理信息系统或计算机软件中级以上（含中级）职称证书，每提供1人得1分，满分7分。 注：不提供不得分，提供项目组成员相关证书复印件（不提供或提供不全不得分）。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包括但不限于供应商针对本项目提出①质量目标；②质量保证措施；③项目管理制度等。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(2)评审标准细化内容每缺少一项内容扣2分； (3)评审标准细化内容缺失则不得分，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应急预案及突发事件保障措施</w:t>
            </w:r>
          </w:p>
        </w:tc>
        <w:tc>
          <w:tcPr>
            <w:tcW w:type="dxa" w:w="2492"/>
          </w:tcPr>
          <w:p>
            <w:pPr>
              <w:pStyle w:val="null3"/>
            </w:pPr>
            <w:r>
              <w:rPr>
                <w:rFonts w:ascii="仿宋_GB2312" w:hAnsi="仿宋_GB2312" w:cs="仿宋_GB2312" w:eastAsia="仿宋_GB2312"/>
              </w:rPr>
              <w:t>区间分值：0-5分。 评审标准细化内容： 包含但不限于①应急预案；②突发事件保障措施。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（1）评审标准细化内容全面详细、阐述条理清晰详尽、符合本项目采购需求得5分； (2)评审标准细化内容每缺少一项内容扣2.5分； (3)评审标准细化内容缺失则不得分，每有一项措施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包含但不限于①售后服务承诺；②保证措施。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