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65D62F">
      <w:pPr>
        <w:jc w:val="center"/>
        <w:rPr>
          <w:rFonts w:hAnsi="宋体" w:cs="楷体"/>
          <w:b/>
          <w:bCs/>
          <w:sz w:val="52"/>
          <w:szCs w:val="52"/>
          <w:highlight w:val="none"/>
        </w:rPr>
      </w:pPr>
      <w:r>
        <w:rPr>
          <w:rFonts w:hint="eastAsia" w:hAnsi="宋体" w:cs="楷体"/>
          <w:b/>
          <w:bCs/>
          <w:sz w:val="52"/>
          <w:szCs w:val="52"/>
          <w:highlight w:val="none"/>
        </w:rPr>
        <w:t>2025年度西安市耕地保护“田长制”管控体系支撑项目</w:t>
      </w:r>
    </w:p>
    <w:p w14:paraId="1081536C">
      <w:pPr>
        <w:jc w:val="center"/>
        <w:rPr>
          <w:rFonts w:hAnsi="宋体" w:cs="楷体"/>
          <w:b/>
          <w:bCs/>
          <w:sz w:val="52"/>
          <w:szCs w:val="52"/>
          <w:highlight w:val="none"/>
        </w:rPr>
      </w:pPr>
    </w:p>
    <w:p w14:paraId="6268F7A0">
      <w:pPr>
        <w:jc w:val="center"/>
        <w:rPr>
          <w:rFonts w:hAnsi="宋体" w:cs="楷体"/>
          <w:b/>
          <w:bCs/>
          <w:sz w:val="72"/>
          <w:szCs w:val="72"/>
          <w:highlight w:val="none"/>
        </w:rPr>
      </w:pPr>
      <w:r>
        <w:rPr>
          <w:rFonts w:hint="eastAsia" w:hAnsi="宋体" w:cs="楷体"/>
          <w:b/>
          <w:bCs/>
          <w:sz w:val="52"/>
          <w:szCs w:val="52"/>
          <w:highlight w:val="none"/>
        </w:rPr>
        <w:t>合同书</w:t>
      </w:r>
    </w:p>
    <w:p w14:paraId="1F2FBED7">
      <w:pPr>
        <w:jc w:val="center"/>
        <w:rPr>
          <w:rFonts w:hAnsi="宋体" w:cs="楷体"/>
          <w:sz w:val="44"/>
          <w:szCs w:val="44"/>
          <w:highlight w:val="none"/>
        </w:rPr>
      </w:pPr>
    </w:p>
    <w:p w14:paraId="6659079F">
      <w:pPr>
        <w:jc w:val="center"/>
        <w:rPr>
          <w:rFonts w:hAnsi="宋体" w:cs="楷体"/>
          <w:sz w:val="44"/>
          <w:szCs w:val="44"/>
          <w:highlight w:val="none"/>
        </w:rPr>
      </w:pPr>
    </w:p>
    <w:p w14:paraId="7D40F283">
      <w:pPr>
        <w:rPr>
          <w:rFonts w:hAnsi="宋体" w:cs="楷体"/>
          <w:sz w:val="44"/>
          <w:szCs w:val="44"/>
          <w:highlight w:val="none"/>
        </w:rPr>
      </w:pPr>
    </w:p>
    <w:p w14:paraId="0165CE45">
      <w:pPr>
        <w:jc w:val="center"/>
        <w:rPr>
          <w:rFonts w:hAnsi="宋体" w:cs="楷体"/>
          <w:b/>
          <w:sz w:val="36"/>
          <w:szCs w:val="36"/>
          <w:highlight w:val="none"/>
        </w:rPr>
      </w:pPr>
      <w:r>
        <w:rPr>
          <w:rFonts w:hint="eastAsia" w:hAnsi="宋体" w:cs="楷体"/>
          <w:b/>
          <w:sz w:val="36"/>
          <w:szCs w:val="36"/>
          <w:highlight w:val="none"/>
        </w:rPr>
        <w:t>（示范文本）</w:t>
      </w:r>
    </w:p>
    <w:p w14:paraId="5ED417B0">
      <w:pPr>
        <w:spacing w:line="360" w:lineRule="auto"/>
        <w:ind w:left="718" w:leftChars="298" w:hanging="3"/>
        <w:jc w:val="center"/>
        <w:rPr>
          <w:rFonts w:hAnsi="宋体" w:cs="楷体"/>
          <w:b/>
          <w:bCs/>
          <w:color w:val="000000"/>
          <w:sz w:val="32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val="en-US" w:eastAsia="zh-Hans"/>
        </w:rPr>
        <w:t>成交供应商和采购人也可根据项目特点自行拟定合同条款</w:t>
      </w:r>
    </w:p>
    <w:p w14:paraId="4001E533">
      <w:pPr>
        <w:spacing w:line="360" w:lineRule="auto"/>
        <w:ind w:left="718" w:leftChars="298" w:hanging="3"/>
        <w:rPr>
          <w:rFonts w:hAnsi="宋体" w:cs="楷体"/>
          <w:b/>
          <w:bCs/>
          <w:color w:val="000000"/>
          <w:sz w:val="32"/>
          <w:szCs w:val="28"/>
          <w:highlight w:val="none"/>
        </w:rPr>
      </w:pPr>
    </w:p>
    <w:p w14:paraId="4AB24C25">
      <w:pPr>
        <w:pStyle w:val="2"/>
        <w:ind w:firstLine="480"/>
        <w:rPr>
          <w:highlight w:val="none"/>
        </w:rPr>
      </w:pPr>
    </w:p>
    <w:p w14:paraId="70266794">
      <w:pPr>
        <w:pStyle w:val="2"/>
        <w:ind w:firstLine="480"/>
        <w:rPr>
          <w:highlight w:val="none"/>
        </w:rPr>
      </w:pPr>
    </w:p>
    <w:p w14:paraId="3B916067">
      <w:pPr>
        <w:pStyle w:val="2"/>
        <w:ind w:firstLine="480"/>
        <w:rPr>
          <w:highlight w:val="none"/>
        </w:rPr>
      </w:pPr>
    </w:p>
    <w:p w14:paraId="2E6B7BAE">
      <w:pPr>
        <w:pStyle w:val="2"/>
        <w:ind w:firstLine="480"/>
        <w:rPr>
          <w:highlight w:val="none"/>
        </w:rPr>
      </w:pPr>
    </w:p>
    <w:p w14:paraId="041D0162">
      <w:pPr>
        <w:pStyle w:val="2"/>
        <w:ind w:firstLine="480"/>
        <w:rPr>
          <w:highlight w:val="none"/>
        </w:rPr>
      </w:pPr>
    </w:p>
    <w:p w14:paraId="0289AC06">
      <w:pPr>
        <w:spacing w:line="360" w:lineRule="auto"/>
        <w:ind w:left="718" w:leftChars="298" w:hanging="3"/>
        <w:rPr>
          <w:rFonts w:hAnsi="宋体" w:cs="楷体"/>
          <w:b/>
          <w:bCs/>
          <w:color w:val="000000"/>
          <w:sz w:val="32"/>
          <w:szCs w:val="28"/>
          <w:highlight w:val="none"/>
        </w:rPr>
      </w:pPr>
    </w:p>
    <w:p w14:paraId="19565AA1">
      <w:pPr>
        <w:spacing w:line="360" w:lineRule="auto"/>
        <w:ind w:left="278" w:leftChars="116" w:firstLine="555" w:firstLineChars="198"/>
        <w:rPr>
          <w:rFonts w:hAnsi="宋体" w:cs="楷体"/>
          <w:b/>
          <w:bCs/>
          <w:color w:val="000000"/>
          <w:sz w:val="28"/>
          <w:szCs w:val="24"/>
          <w:highlight w:val="none"/>
        </w:rPr>
      </w:pPr>
      <w:r>
        <w:rPr>
          <w:rFonts w:hint="eastAsia" w:hAnsi="宋体" w:cs="楷体"/>
          <w:b/>
          <w:bCs/>
          <w:color w:val="000000"/>
          <w:sz w:val="28"/>
          <w:szCs w:val="24"/>
          <w:highlight w:val="none"/>
        </w:rPr>
        <w:t xml:space="preserve">委托方（甲方）：西安市自然资源和规划局 </w:t>
      </w:r>
    </w:p>
    <w:p w14:paraId="0761F7B6">
      <w:pPr>
        <w:spacing w:line="360" w:lineRule="auto"/>
        <w:ind w:left="278" w:leftChars="116" w:firstLine="555" w:firstLineChars="198"/>
        <w:rPr>
          <w:rFonts w:hAnsi="宋体" w:cs="楷体"/>
          <w:b/>
          <w:bCs/>
          <w:color w:val="000000"/>
          <w:sz w:val="28"/>
          <w:szCs w:val="24"/>
          <w:highlight w:val="none"/>
        </w:rPr>
      </w:pPr>
      <w:r>
        <w:rPr>
          <w:rFonts w:hint="eastAsia" w:hAnsi="宋体" w:cs="楷体"/>
          <w:b/>
          <w:bCs/>
          <w:color w:val="000000"/>
          <w:sz w:val="28"/>
          <w:szCs w:val="24"/>
          <w:highlight w:val="none"/>
        </w:rPr>
        <w:t xml:space="preserve">受托方（乙方）：      </w:t>
      </w:r>
    </w:p>
    <w:p w14:paraId="230595CF">
      <w:pPr>
        <w:spacing w:line="360" w:lineRule="auto"/>
        <w:ind w:firstLine="840" w:firstLineChars="300"/>
        <w:rPr>
          <w:rFonts w:hAnsi="宋体" w:cs="仿宋"/>
          <w:b/>
          <w:bCs/>
          <w:sz w:val="44"/>
          <w:szCs w:val="44"/>
          <w:highlight w:val="none"/>
        </w:rPr>
      </w:pPr>
      <w:r>
        <w:rPr>
          <w:rFonts w:hint="eastAsia" w:hAnsi="宋体" w:cs="楷体"/>
          <w:b/>
          <w:bCs/>
          <w:color w:val="000000"/>
          <w:sz w:val="28"/>
          <w:szCs w:val="24"/>
          <w:highlight w:val="none"/>
        </w:rPr>
        <w:t xml:space="preserve">签订时间： </w:t>
      </w:r>
      <w:r>
        <w:rPr>
          <w:rFonts w:hint="eastAsia" w:hAnsi="宋体" w:cs="楷体"/>
          <w:b/>
          <w:bCs/>
          <w:color w:val="000000"/>
          <w:sz w:val="48"/>
          <w:szCs w:val="44"/>
          <w:highlight w:val="none"/>
        </w:rPr>
        <w:t xml:space="preserve"> </w:t>
      </w:r>
      <w:r>
        <w:rPr>
          <w:rFonts w:hint="eastAsia" w:hAnsi="宋体" w:cs="楷体"/>
          <w:b/>
          <w:bCs/>
          <w:color w:val="000000"/>
          <w:sz w:val="32"/>
          <w:szCs w:val="28"/>
          <w:highlight w:val="none"/>
        </w:rPr>
        <w:t xml:space="preserve"> </w:t>
      </w:r>
      <w:r>
        <w:rPr>
          <w:rFonts w:hint="eastAsia" w:hAnsi="宋体" w:cs="楷体"/>
          <w:b/>
          <w:bCs/>
          <w:color w:val="000000"/>
          <w:sz w:val="48"/>
          <w:szCs w:val="44"/>
          <w:highlight w:val="none"/>
        </w:rPr>
        <w:t xml:space="preserve"> </w:t>
      </w:r>
      <w:r>
        <w:rPr>
          <w:rFonts w:hint="eastAsia" w:hAnsi="宋体" w:cs="楷体"/>
          <w:bCs/>
          <w:sz w:val="48"/>
          <w:szCs w:val="48"/>
          <w:highlight w:val="none"/>
        </w:rPr>
        <w:br w:type="page"/>
      </w:r>
    </w:p>
    <w:p w14:paraId="33DBDBC2">
      <w:pPr>
        <w:spacing w:line="360" w:lineRule="auto"/>
        <w:ind w:firstLine="480" w:firstLineChars="200"/>
        <w:rPr>
          <w:rFonts w:hAnsi="宋体" w:cs="楷体"/>
          <w:b/>
          <w:color w:val="000000"/>
          <w:szCs w:val="24"/>
          <w:highlight w:val="none"/>
        </w:rPr>
      </w:pPr>
      <w:r>
        <w:rPr>
          <w:rFonts w:hint="eastAsia" w:hAnsi="宋体" w:cs="楷体"/>
          <w:b/>
          <w:color w:val="000000"/>
          <w:szCs w:val="24"/>
          <w:highlight w:val="none"/>
        </w:rPr>
        <w:t>委托方（全称）：</w:t>
      </w:r>
      <w:r>
        <w:rPr>
          <w:rFonts w:hint="eastAsia" w:hAnsi="宋体" w:cs="楷体"/>
          <w:b/>
          <w:color w:val="000000"/>
          <w:szCs w:val="24"/>
          <w:highlight w:val="none"/>
          <w:u w:val="single"/>
        </w:rPr>
        <w:t xml:space="preserve">  西安市自然资源和规划局         </w:t>
      </w:r>
      <w:r>
        <w:rPr>
          <w:rFonts w:hAnsi="宋体" w:cs="楷体"/>
          <w:b/>
          <w:color w:val="000000"/>
          <w:szCs w:val="24"/>
          <w:highlight w:val="none"/>
          <w:u w:val="single"/>
        </w:rPr>
        <w:t xml:space="preserve"> </w:t>
      </w:r>
      <w:r>
        <w:rPr>
          <w:rFonts w:hint="eastAsia" w:hAnsi="宋体" w:cs="楷体"/>
          <w:b/>
          <w:color w:val="000000"/>
          <w:szCs w:val="24"/>
          <w:highlight w:val="none"/>
          <w:u w:val="single"/>
        </w:rPr>
        <w:t xml:space="preserve">           </w:t>
      </w:r>
    </w:p>
    <w:p w14:paraId="4AC04C93">
      <w:pPr>
        <w:adjustRightInd w:val="0"/>
        <w:snapToGrid w:val="0"/>
        <w:spacing w:line="360" w:lineRule="auto"/>
        <w:ind w:firstLine="480" w:firstLineChars="200"/>
        <w:rPr>
          <w:rFonts w:hAnsi="宋体" w:cs="楷体"/>
          <w:color w:val="000000"/>
          <w:szCs w:val="24"/>
          <w:highlight w:val="none"/>
          <w:u w:val="single"/>
        </w:rPr>
      </w:pPr>
      <w:r>
        <w:rPr>
          <w:rFonts w:hint="eastAsia" w:hAnsi="宋体" w:cs="楷体"/>
          <w:b/>
          <w:color w:val="000000"/>
          <w:szCs w:val="24"/>
          <w:highlight w:val="none"/>
        </w:rPr>
        <w:t>受托方（全称）：</w:t>
      </w:r>
      <w:r>
        <w:rPr>
          <w:rFonts w:hint="eastAsia" w:hAnsi="宋体" w:cs="楷体"/>
          <w:b/>
          <w:color w:val="000000"/>
          <w:szCs w:val="24"/>
          <w:highlight w:val="none"/>
          <w:u w:val="single"/>
        </w:rPr>
        <w:t xml:space="preserve">                                           </w:t>
      </w:r>
      <w:r>
        <w:rPr>
          <w:rFonts w:hint="eastAsia" w:hAnsi="宋体" w:cs="楷体"/>
          <w:color w:val="000000"/>
          <w:szCs w:val="24"/>
          <w:highlight w:val="none"/>
          <w:u w:val="single"/>
        </w:rPr>
        <w:t xml:space="preserve">  </w:t>
      </w:r>
    </w:p>
    <w:p w14:paraId="141D98EA">
      <w:pPr>
        <w:adjustRightInd w:val="0"/>
        <w:snapToGrid w:val="0"/>
        <w:spacing w:line="360" w:lineRule="auto"/>
        <w:ind w:firstLine="480" w:firstLineChars="200"/>
        <w:rPr>
          <w:rFonts w:hAnsi="宋体" w:cs="楷体"/>
          <w:color w:val="000000"/>
          <w:szCs w:val="24"/>
          <w:highlight w:val="none"/>
          <w:u w:val="single"/>
        </w:rPr>
      </w:pPr>
      <w:r>
        <w:rPr>
          <w:rFonts w:hint="eastAsia" w:hAnsi="宋体" w:cs="楷体"/>
          <w:color w:val="000000"/>
          <w:szCs w:val="24"/>
          <w:highlight w:val="none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55EF43C6">
      <w:pPr>
        <w:spacing w:line="360" w:lineRule="auto"/>
        <w:rPr>
          <w:rFonts w:hAnsi="宋体" w:cs="楷体"/>
          <w:b/>
          <w:color w:val="000000"/>
          <w:szCs w:val="24"/>
          <w:highlight w:val="none"/>
        </w:rPr>
      </w:pPr>
      <w:r>
        <w:rPr>
          <w:rFonts w:hint="eastAsia" w:hAnsi="宋体" w:cs="楷体"/>
          <w:b/>
          <w:color w:val="000000"/>
          <w:szCs w:val="24"/>
          <w:highlight w:val="none"/>
        </w:rPr>
        <w:t>一、项目概况</w:t>
      </w:r>
    </w:p>
    <w:p w14:paraId="6FE6DF63">
      <w:pPr>
        <w:autoSpaceDE w:val="0"/>
        <w:autoSpaceDN w:val="0"/>
        <w:adjustRightInd w:val="0"/>
        <w:spacing w:line="360" w:lineRule="auto"/>
        <w:ind w:firstLine="480" w:firstLineChars="200"/>
        <w:rPr>
          <w:rFonts w:hint="default" w:hAnsi="宋体" w:eastAsia="宋体" w:cs="楷体"/>
          <w:color w:val="000000"/>
          <w:szCs w:val="24"/>
          <w:highlight w:val="none"/>
          <w:u w:val="single"/>
          <w:lang w:val="en-US" w:eastAsia="zh-CN"/>
        </w:rPr>
      </w:pPr>
      <w:r>
        <w:rPr>
          <w:rFonts w:hint="eastAsia" w:hAnsi="宋体" w:cs="楷体"/>
          <w:color w:val="000000"/>
          <w:szCs w:val="24"/>
          <w:highlight w:val="none"/>
        </w:rPr>
        <w:t>1.项目名称：</w:t>
      </w:r>
      <w:r>
        <w:rPr>
          <w:rFonts w:hint="eastAsia" w:hAnsi="宋体" w:cs="楷体"/>
          <w:color w:val="000000"/>
          <w:szCs w:val="24"/>
          <w:highlight w:val="none"/>
          <w:u w:val="single"/>
        </w:rPr>
        <w:t xml:space="preserve"> 2025年度西安市耕地保护“田长制”管控体系支撑项目</w:t>
      </w:r>
      <w:r>
        <w:rPr>
          <w:rFonts w:hint="eastAsia" w:hAnsi="宋体" w:eastAsia="宋体" w:cs="楷体"/>
          <w:color w:val="000000"/>
          <w:szCs w:val="24"/>
          <w:highlight w:val="none"/>
          <w:u w:val="single"/>
          <w:lang w:val="en-US" w:eastAsia="zh-CN"/>
        </w:rPr>
        <w:t xml:space="preserve">     </w:t>
      </w:r>
    </w:p>
    <w:p w14:paraId="5B0242F8">
      <w:pPr>
        <w:autoSpaceDE w:val="0"/>
        <w:autoSpaceDN w:val="0"/>
        <w:adjustRightInd w:val="0"/>
        <w:spacing w:line="360" w:lineRule="auto"/>
        <w:ind w:firstLine="480" w:firstLineChars="200"/>
        <w:rPr>
          <w:rFonts w:hAnsi="宋体" w:cs="楷体"/>
          <w:color w:val="000000"/>
          <w:szCs w:val="24"/>
          <w:highlight w:val="none"/>
        </w:rPr>
      </w:pPr>
      <w:r>
        <w:rPr>
          <w:rFonts w:hint="eastAsia" w:hAnsi="宋体" w:cs="楷体"/>
          <w:color w:val="000000"/>
          <w:szCs w:val="24"/>
          <w:highlight w:val="none"/>
        </w:rPr>
        <w:t>2.项目地点：</w:t>
      </w:r>
      <w:r>
        <w:rPr>
          <w:rFonts w:hint="eastAsia" w:hAnsi="宋体" w:cs="楷体"/>
          <w:color w:val="000000"/>
          <w:szCs w:val="24"/>
          <w:highlight w:val="none"/>
          <w:u w:val="single"/>
        </w:rPr>
        <w:t xml:space="preserve"> 西安市 </w:t>
      </w:r>
    </w:p>
    <w:p w14:paraId="2B0D539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hAnsi="宋体" w:eastAsia="宋体" w:cs="楷体"/>
          <w:color w:val="000000"/>
          <w:szCs w:val="24"/>
          <w:highlight w:val="none"/>
          <w:u w:val="single"/>
          <w:lang w:val="en-US" w:eastAsia="zh-CN"/>
        </w:rPr>
      </w:pPr>
      <w:r>
        <w:rPr>
          <w:rFonts w:hint="eastAsia" w:hAnsi="宋体" w:cs="楷体"/>
          <w:color w:val="000000"/>
          <w:szCs w:val="24"/>
          <w:highlight w:val="none"/>
        </w:rPr>
        <w:t>3.项目内容：</w:t>
      </w:r>
      <w:r>
        <w:rPr>
          <w:rFonts w:hint="eastAsia" w:hAnsi="宋体" w:eastAsia="宋体" w:cs="楷体"/>
          <w:color w:val="000000"/>
          <w:szCs w:val="24"/>
          <w:highlight w:val="none"/>
          <w:u w:val="single"/>
          <w:lang w:val="en-US" w:eastAsia="zh-CN"/>
        </w:rPr>
        <w:t xml:space="preserve"> 加强耕地和永久基本农田日常监管，完善人地关联工作机制，强化巡田技术支撑，有效提高田长制管理水平，及时掌握耕地和永久基本农田动态变化，强化源头管控。</w:t>
      </w:r>
    </w:p>
    <w:p w14:paraId="5BBEBA3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hAnsi="宋体" w:eastAsia="宋体" w:cs="楷体"/>
          <w:color w:val="000000"/>
          <w:szCs w:val="24"/>
          <w:highlight w:val="none"/>
          <w:u w:val="single"/>
          <w:lang w:val="en-US" w:eastAsia="zh-CN"/>
        </w:rPr>
      </w:pPr>
      <w:r>
        <w:rPr>
          <w:rFonts w:hint="eastAsia" w:hAnsi="宋体" w:eastAsia="宋体" w:cs="楷体"/>
          <w:color w:val="000000"/>
          <w:szCs w:val="24"/>
          <w:highlight w:val="none"/>
          <w:u w:val="single"/>
          <w:lang w:val="en-US" w:eastAsia="zh-CN"/>
        </w:rPr>
        <w:t>（一）全面查清我市辖区范围内保护耕地的空间分布、面积、类型等内容，结合区县村界调整结果，开展本辖区耕地保护目标及管理网格划分工作，形成本辖区耕地保护管理数据成果。</w:t>
      </w:r>
    </w:p>
    <w:p w14:paraId="182958D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default" w:hAnsi="宋体" w:cs="楷体"/>
          <w:color w:val="000000"/>
          <w:szCs w:val="24"/>
          <w:highlight w:val="none"/>
          <w:u w:val="single"/>
          <w:lang w:val="en-US"/>
        </w:rPr>
      </w:pPr>
      <w:r>
        <w:rPr>
          <w:rFonts w:hint="eastAsia" w:hAnsi="宋体" w:eastAsia="宋体" w:cs="楷体"/>
          <w:color w:val="000000"/>
          <w:szCs w:val="24"/>
          <w:highlight w:val="none"/>
          <w:u w:val="single"/>
          <w:lang w:val="en-US" w:eastAsia="zh-CN"/>
        </w:rPr>
        <w:t>（二）持续开展我市田长制管控体系支撑工作，协助田长办日常管理、考核工作；支撑各级田长、网格员完成日常巡查、巡查事件上报、派发任务处理等工作内容记录、流程化处理与反馈。</w:t>
      </w:r>
    </w:p>
    <w:p w14:paraId="1665F331">
      <w:pPr>
        <w:spacing w:line="360" w:lineRule="auto"/>
        <w:rPr>
          <w:rFonts w:hAnsi="宋体" w:cs="楷体"/>
          <w:b/>
          <w:szCs w:val="24"/>
          <w:highlight w:val="none"/>
        </w:rPr>
      </w:pPr>
      <w:r>
        <w:rPr>
          <w:rFonts w:hint="eastAsia" w:hAnsi="宋体" w:cs="楷体"/>
          <w:b/>
          <w:szCs w:val="24"/>
          <w:highlight w:val="none"/>
        </w:rPr>
        <w:t>二、组成本合同的文件</w:t>
      </w:r>
    </w:p>
    <w:p w14:paraId="3688B4B1">
      <w:pPr>
        <w:adjustRightInd w:val="0"/>
        <w:snapToGrid w:val="0"/>
        <w:spacing w:line="360" w:lineRule="auto"/>
        <w:ind w:firstLine="475" w:firstLineChars="198"/>
        <w:rPr>
          <w:rFonts w:hAnsi="宋体" w:cs="楷体"/>
          <w:szCs w:val="24"/>
          <w:highlight w:val="none"/>
        </w:rPr>
      </w:pPr>
      <w:r>
        <w:rPr>
          <w:rFonts w:hint="eastAsia" w:hAnsi="宋体" w:cs="楷体"/>
          <w:szCs w:val="24"/>
          <w:highlight w:val="none"/>
        </w:rPr>
        <w:t>1. 协议书；</w:t>
      </w:r>
    </w:p>
    <w:p w14:paraId="260F88A0">
      <w:pPr>
        <w:adjustRightInd w:val="0"/>
        <w:snapToGrid w:val="0"/>
        <w:spacing w:line="360" w:lineRule="auto"/>
        <w:ind w:firstLine="475" w:firstLineChars="198"/>
        <w:rPr>
          <w:rFonts w:hAnsi="宋体" w:cs="楷体"/>
          <w:szCs w:val="24"/>
          <w:highlight w:val="none"/>
        </w:rPr>
      </w:pPr>
      <w:r>
        <w:rPr>
          <w:rFonts w:hint="eastAsia" w:hAnsi="宋体" w:cs="楷体"/>
          <w:szCs w:val="24"/>
          <w:highlight w:val="none"/>
        </w:rPr>
        <w:t>2. 成交通知书、磋商响应文件、磋商文件、澄清、磋商补充文件（或委托书）；</w:t>
      </w:r>
    </w:p>
    <w:p w14:paraId="3F7377A9">
      <w:pPr>
        <w:adjustRightInd w:val="0"/>
        <w:snapToGrid w:val="0"/>
        <w:spacing w:line="360" w:lineRule="auto"/>
        <w:ind w:firstLine="480" w:firstLineChars="200"/>
        <w:rPr>
          <w:rFonts w:hAnsi="宋体" w:cs="楷体"/>
          <w:szCs w:val="24"/>
          <w:highlight w:val="none"/>
        </w:rPr>
      </w:pPr>
      <w:r>
        <w:rPr>
          <w:rFonts w:hint="eastAsia" w:hAnsi="宋体" w:cs="楷体"/>
          <w:szCs w:val="24"/>
          <w:highlight w:val="none"/>
        </w:rPr>
        <w:t>3.</w:t>
      </w:r>
      <w:r>
        <w:rPr>
          <w:rFonts w:hAnsi="宋体" w:cs="楷体"/>
          <w:szCs w:val="24"/>
          <w:highlight w:val="none"/>
        </w:rPr>
        <w:t xml:space="preserve"> </w:t>
      </w:r>
      <w:r>
        <w:rPr>
          <w:rFonts w:hint="eastAsia" w:hAnsi="宋体" w:cs="楷体"/>
          <w:szCs w:val="24"/>
          <w:highlight w:val="none"/>
        </w:rPr>
        <w:t>相关服务建议书（如有）；</w:t>
      </w:r>
    </w:p>
    <w:p w14:paraId="52375311">
      <w:pPr>
        <w:adjustRightInd w:val="0"/>
        <w:snapToGrid w:val="0"/>
        <w:spacing w:line="360" w:lineRule="auto"/>
        <w:rPr>
          <w:rFonts w:hAnsi="宋体" w:cs="楷体"/>
          <w:szCs w:val="24"/>
          <w:highlight w:val="none"/>
        </w:rPr>
      </w:pPr>
      <w:r>
        <w:rPr>
          <w:rFonts w:hint="eastAsia" w:hAnsi="宋体" w:cs="楷体"/>
          <w:szCs w:val="24"/>
          <w:highlight w:val="none"/>
        </w:rPr>
        <w:t xml:space="preserve">    4. 附录，</w:t>
      </w:r>
    </w:p>
    <w:p w14:paraId="563BB23D">
      <w:pPr>
        <w:adjustRightInd w:val="0"/>
        <w:snapToGrid w:val="0"/>
        <w:spacing w:line="360" w:lineRule="auto"/>
        <w:ind w:firstLine="475" w:firstLineChars="198"/>
        <w:rPr>
          <w:rFonts w:hAnsi="宋体" w:cs="楷体"/>
          <w:szCs w:val="24"/>
          <w:highlight w:val="none"/>
        </w:rPr>
      </w:pPr>
      <w:r>
        <w:rPr>
          <w:rFonts w:hint="eastAsia" w:hAnsi="宋体" w:cs="楷体"/>
          <w:szCs w:val="24"/>
          <w:highlight w:val="none"/>
        </w:rPr>
        <w:t>本合同签订后，双方依法签订的补充协议也是本合同文件的组成部分。</w:t>
      </w:r>
    </w:p>
    <w:p w14:paraId="2D24092E">
      <w:pPr>
        <w:spacing w:line="360" w:lineRule="auto"/>
        <w:rPr>
          <w:rFonts w:hAnsi="宋体" w:cs="楷体"/>
          <w:b/>
          <w:color w:val="000000"/>
          <w:szCs w:val="24"/>
          <w:highlight w:val="none"/>
        </w:rPr>
      </w:pPr>
      <w:r>
        <w:rPr>
          <w:rFonts w:hint="eastAsia" w:hAnsi="宋体" w:cs="楷体"/>
          <w:b/>
          <w:color w:val="000000"/>
          <w:szCs w:val="24"/>
          <w:highlight w:val="none"/>
        </w:rPr>
        <w:t>三、合同价款</w:t>
      </w:r>
    </w:p>
    <w:p w14:paraId="2FCC3DCC">
      <w:pPr>
        <w:adjustRightInd w:val="0"/>
        <w:snapToGrid w:val="0"/>
        <w:spacing w:line="360" w:lineRule="auto"/>
        <w:ind w:firstLine="475" w:firstLineChars="198"/>
        <w:rPr>
          <w:rFonts w:hAnsi="宋体" w:cs="楷体"/>
          <w:color w:val="000000"/>
          <w:szCs w:val="24"/>
          <w:highlight w:val="none"/>
        </w:rPr>
      </w:pPr>
      <w:r>
        <w:rPr>
          <w:rFonts w:hint="eastAsia" w:hAnsi="宋体" w:cs="楷体"/>
          <w:color w:val="000000"/>
          <w:szCs w:val="24"/>
          <w:highlight w:val="none"/>
        </w:rPr>
        <w:t>1.合同金额（大写）：</w:t>
      </w:r>
      <w:r>
        <w:rPr>
          <w:rFonts w:hint="eastAsia" w:hAnsi="宋体" w:cs="楷体"/>
          <w:color w:val="000000"/>
          <w:szCs w:val="24"/>
          <w:highlight w:val="none"/>
          <w:u w:val="single"/>
        </w:rPr>
        <w:t xml:space="preserve">                 </w:t>
      </w:r>
      <w:r>
        <w:rPr>
          <w:rFonts w:hint="eastAsia" w:hAnsi="宋体" w:cs="楷体"/>
          <w:color w:val="000000"/>
          <w:szCs w:val="24"/>
          <w:highlight w:val="none"/>
        </w:rPr>
        <w:t xml:space="preserve">（¥ </w:t>
      </w:r>
      <w:r>
        <w:rPr>
          <w:rFonts w:hint="eastAsia" w:hAnsi="宋体" w:cs="楷体"/>
          <w:color w:val="000000"/>
          <w:szCs w:val="24"/>
          <w:highlight w:val="none"/>
          <w:u w:val="single"/>
        </w:rPr>
        <w:t xml:space="preserve">           </w:t>
      </w:r>
      <w:r>
        <w:rPr>
          <w:rFonts w:hint="eastAsia" w:hAnsi="宋体" w:cs="楷体"/>
          <w:color w:val="000000"/>
          <w:szCs w:val="24"/>
          <w:highlight w:val="none"/>
        </w:rPr>
        <w:t>元）。</w:t>
      </w:r>
    </w:p>
    <w:p w14:paraId="3265B124">
      <w:pPr>
        <w:adjustRightInd w:val="0"/>
        <w:snapToGrid w:val="0"/>
        <w:spacing w:line="360" w:lineRule="auto"/>
        <w:ind w:firstLine="475" w:firstLineChars="198"/>
        <w:rPr>
          <w:rFonts w:hAnsi="宋体" w:cs="楷体"/>
          <w:b/>
          <w:color w:val="000000"/>
          <w:szCs w:val="24"/>
          <w:highlight w:val="none"/>
        </w:rPr>
      </w:pPr>
      <w:r>
        <w:rPr>
          <w:rFonts w:hint="eastAsia" w:hAnsi="宋体" w:cs="楷体"/>
          <w:b/>
          <w:color w:val="000000"/>
          <w:szCs w:val="24"/>
          <w:highlight w:val="none"/>
        </w:rPr>
        <w:t>2.合同总价即成交价，不受市场价变化或实际工作量变化的影响。</w:t>
      </w:r>
    </w:p>
    <w:p w14:paraId="476D6076">
      <w:pPr>
        <w:adjustRightInd w:val="0"/>
        <w:snapToGrid w:val="0"/>
        <w:spacing w:line="360" w:lineRule="auto"/>
        <w:rPr>
          <w:rFonts w:hAnsi="宋体" w:cs="楷体"/>
          <w:b/>
          <w:szCs w:val="24"/>
          <w:highlight w:val="none"/>
        </w:rPr>
      </w:pPr>
      <w:r>
        <w:rPr>
          <w:rFonts w:hint="eastAsia" w:hAnsi="宋体" w:cs="楷体"/>
          <w:b/>
          <w:color w:val="000000"/>
          <w:szCs w:val="24"/>
          <w:highlight w:val="none"/>
        </w:rPr>
        <w:t>四</w:t>
      </w:r>
      <w:r>
        <w:rPr>
          <w:rFonts w:hint="eastAsia" w:hAnsi="宋体" w:cs="楷体"/>
          <w:b/>
          <w:szCs w:val="24"/>
          <w:highlight w:val="none"/>
        </w:rPr>
        <w:t>、项目实施地点：</w:t>
      </w:r>
      <w:r>
        <w:rPr>
          <w:rFonts w:hint="eastAsia" w:hAnsi="宋体" w:cs="楷体"/>
          <w:bCs/>
          <w:szCs w:val="24"/>
          <w:highlight w:val="none"/>
        </w:rPr>
        <w:t>采购人指定地点；</w:t>
      </w:r>
    </w:p>
    <w:p w14:paraId="137D1EBB">
      <w:pPr>
        <w:adjustRightInd w:val="0"/>
        <w:snapToGrid w:val="0"/>
        <w:spacing w:line="360" w:lineRule="auto"/>
        <w:ind w:left="482" w:hanging="480" w:hangingChars="200"/>
        <w:rPr>
          <w:rFonts w:hAnsi="宋体" w:cs="楷体"/>
          <w:szCs w:val="24"/>
          <w:highlight w:val="none"/>
        </w:rPr>
      </w:pPr>
      <w:r>
        <w:rPr>
          <w:rFonts w:hint="eastAsia" w:hAnsi="宋体" w:cs="楷体"/>
          <w:b/>
          <w:szCs w:val="24"/>
          <w:highlight w:val="none"/>
        </w:rPr>
        <w:t>五、付款方式：</w:t>
      </w:r>
      <w:r>
        <w:rPr>
          <w:rFonts w:hint="eastAsia" w:hAnsi="宋体" w:cs="楷体"/>
          <w:b w:val="0"/>
          <w:bCs/>
          <w:szCs w:val="24"/>
          <w:highlight w:val="none"/>
        </w:rPr>
        <w:t>完成采购签订合同后，支付合同预付款，即合同总价款的60%；完成合同约定的所有服务内容，通过市级项目验收后，支付合同尾款，即合同总价款的40%</w:t>
      </w:r>
      <w:r>
        <w:rPr>
          <w:rFonts w:hAnsi="宋体" w:cs="楷体"/>
          <w:b w:val="0"/>
          <w:bCs/>
          <w:szCs w:val="24"/>
          <w:highlight w:val="none"/>
        </w:rPr>
        <w:t>。</w:t>
      </w:r>
    </w:p>
    <w:p w14:paraId="7786BB53">
      <w:pPr>
        <w:numPr>
          <w:ilvl w:val="0"/>
          <w:numId w:val="1"/>
        </w:numPr>
        <w:adjustRightInd w:val="0"/>
        <w:snapToGrid w:val="0"/>
        <w:spacing w:line="360" w:lineRule="auto"/>
        <w:rPr>
          <w:rFonts w:hAnsi="宋体" w:cs="楷体"/>
          <w:b/>
          <w:color w:val="000000"/>
          <w:szCs w:val="24"/>
          <w:highlight w:val="none"/>
        </w:rPr>
      </w:pPr>
      <w:r>
        <w:rPr>
          <w:rFonts w:hint="eastAsia" w:hAnsi="宋体" w:cs="楷体"/>
          <w:b/>
          <w:color w:val="000000"/>
          <w:szCs w:val="24"/>
          <w:highlight w:val="none"/>
        </w:rPr>
        <w:t>质量保证：</w:t>
      </w:r>
    </w:p>
    <w:p w14:paraId="606EDD9A">
      <w:pPr>
        <w:spacing w:line="360" w:lineRule="auto"/>
        <w:ind w:firstLine="480" w:firstLineChars="200"/>
        <w:rPr>
          <w:rFonts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1.在服务范围内按工作内容和要求制定详细的方案，方案应科学、合理、合法、可靠。</w:t>
      </w:r>
    </w:p>
    <w:p w14:paraId="0DB31ED9">
      <w:pPr>
        <w:spacing w:line="360" w:lineRule="auto"/>
        <w:ind w:firstLine="480" w:firstLineChars="200"/>
        <w:rPr>
          <w:rFonts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2.人员配备合理。有针对本项目的专项服务小组，项目负责人、工作人员分工明确，确保服务质量（应有具体成员名单，包括姓名、工作职责、联系方式等）</w:t>
      </w:r>
    </w:p>
    <w:p w14:paraId="3644BE1F">
      <w:pPr>
        <w:spacing w:line="360" w:lineRule="auto"/>
        <w:ind w:firstLine="480" w:firstLineChars="200"/>
        <w:rPr>
          <w:rFonts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3.有各类突发事件的应急预案和措施，有明确具体的承诺。</w:t>
      </w:r>
    </w:p>
    <w:p w14:paraId="3BF9A607">
      <w:pPr>
        <w:adjustRightInd w:val="0"/>
        <w:snapToGrid w:val="0"/>
        <w:spacing w:line="360" w:lineRule="auto"/>
        <w:ind w:firstLine="480" w:firstLineChars="200"/>
        <w:rPr>
          <w:rFonts w:hAnsi="宋体" w:cs="楷体"/>
          <w:bCs/>
          <w:color w:val="000000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4.</w:t>
      </w:r>
      <w:r>
        <w:rPr>
          <w:rFonts w:hint="eastAsia" w:hAnsi="宋体" w:cs="楷体"/>
          <w:szCs w:val="24"/>
          <w:highlight w:val="none"/>
        </w:rPr>
        <w:t>供应商所拟派的工作人员，若在服务期间发生侵害第三方或被第三方侵害，采购人概不负责，由供应商自行处理并承担相应损失</w:t>
      </w:r>
      <w:r>
        <w:rPr>
          <w:rFonts w:hint="eastAsia" w:hAnsi="宋体" w:cs="楷体"/>
          <w:color w:val="000000"/>
          <w:szCs w:val="24"/>
          <w:highlight w:val="none"/>
        </w:rPr>
        <w:t>。</w:t>
      </w:r>
    </w:p>
    <w:p w14:paraId="58346361">
      <w:pPr>
        <w:pStyle w:val="6"/>
        <w:numPr>
          <w:ilvl w:val="0"/>
          <w:numId w:val="1"/>
        </w:numPr>
        <w:spacing w:line="360" w:lineRule="auto"/>
        <w:ind w:firstLine="0" w:firstLineChars="0"/>
        <w:rPr>
          <w:rFonts w:hAnsi="宋体" w:cs="楷体"/>
          <w:b/>
          <w:color w:val="000000"/>
          <w:szCs w:val="24"/>
          <w:highlight w:val="none"/>
        </w:rPr>
      </w:pPr>
      <w:r>
        <w:rPr>
          <w:rFonts w:hint="eastAsia" w:hAnsi="宋体" w:cs="楷体"/>
          <w:b/>
          <w:color w:val="000000"/>
          <w:szCs w:val="24"/>
          <w:highlight w:val="none"/>
        </w:rPr>
        <w:t>安全责任：</w:t>
      </w:r>
    </w:p>
    <w:p w14:paraId="25E461AC">
      <w:pPr>
        <w:pStyle w:val="6"/>
        <w:spacing w:line="360" w:lineRule="auto"/>
        <w:ind w:firstLine="480"/>
        <w:rPr>
          <w:rFonts w:hAnsi="宋体" w:cs="楷体"/>
          <w:szCs w:val="24"/>
          <w:highlight w:val="none"/>
          <w:lang w:val="zh-CN"/>
        </w:rPr>
      </w:pPr>
      <w:r>
        <w:rPr>
          <w:rFonts w:hint="eastAsia" w:hAnsi="宋体" w:cs="楷体"/>
          <w:color w:val="000000"/>
          <w:szCs w:val="24"/>
          <w:highlight w:val="none"/>
          <w:lang w:val="zh-CN"/>
        </w:rPr>
        <w:t>乙方应对其工作人员在现场工作期间的一切行为负责，如安全事故责任及因</w:t>
      </w:r>
      <w:r>
        <w:rPr>
          <w:rFonts w:hint="eastAsia" w:hAnsi="宋体" w:cs="楷体"/>
          <w:szCs w:val="24"/>
          <w:highlight w:val="none"/>
          <w:lang w:val="zh-CN"/>
        </w:rPr>
        <w:t>此发生的人身损害赔偿和其它费用由乙方承担。</w:t>
      </w:r>
    </w:p>
    <w:p w14:paraId="6F0619C0">
      <w:pPr>
        <w:numPr>
          <w:ilvl w:val="0"/>
          <w:numId w:val="1"/>
        </w:numPr>
        <w:spacing w:line="360" w:lineRule="auto"/>
        <w:rPr>
          <w:rFonts w:hAnsi="宋体" w:cs="楷体"/>
          <w:b/>
          <w:szCs w:val="24"/>
          <w:highlight w:val="none"/>
        </w:rPr>
      </w:pPr>
      <w:r>
        <w:rPr>
          <w:rFonts w:hint="eastAsia" w:hAnsi="宋体" w:cs="楷体"/>
          <w:b/>
          <w:szCs w:val="24"/>
          <w:highlight w:val="none"/>
        </w:rPr>
        <w:t>考核验收：</w:t>
      </w:r>
    </w:p>
    <w:p w14:paraId="715AFA6D">
      <w:pPr>
        <w:spacing w:line="360" w:lineRule="auto"/>
        <w:ind w:firstLine="480" w:firstLineChars="200"/>
        <w:rPr>
          <w:rFonts w:hAnsi="宋体" w:cs="楷体"/>
          <w:color w:val="FF0000"/>
          <w:szCs w:val="24"/>
          <w:highlight w:val="none"/>
        </w:rPr>
      </w:pPr>
      <w:r>
        <w:rPr>
          <w:rFonts w:hint="eastAsia" w:hAnsi="宋体" w:cs="楷体"/>
          <w:szCs w:val="24"/>
          <w:highlight w:val="none"/>
        </w:rPr>
        <w:t>由采购人和成交供应商共同对项目进行整体验收。其内容包括是否按照采购人要求进行服务、是否在规定时间内服务完毕。</w:t>
      </w:r>
    </w:p>
    <w:p w14:paraId="11A913B1">
      <w:pPr>
        <w:spacing w:line="360" w:lineRule="auto"/>
        <w:rPr>
          <w:rFonts w:hAnsi="宋体" w:cs="楷体"/>
          <w:b/>
          <w:bCs/>
          <w:szCs w:val="24"/>
          <w:highlight w:val="none"/>
        </w:rPr>
      </w:pPr>
      <w:r>
        <w:rPr>
          <w:rFonts w:hint="eastAsia" w:hAnsi="宋体" w:cs="楷体"/>
          <w:b/>
          <w:bCs/>
          <w:szCs w:val="24"/>
          <w:highlight w:val="none"/>
        </w:rPr>
        <w:t>九、保密要求：</w:t>
      </w:r>
    </w:p>
    <w:p w14:paraId="68C63C72">
      <w:pPr>
        <w:spacing w:line="360" w:lineRule="auto"/>
        <w:ind w:firstLine="480" w:firstLineChars="200"/>
        <w:rPr>
          <w:rFonts w:hAnsi="宋体" w:cs="楷体"/>
          <w:szCs w:val="24"/>
          <w:highlight w:val="none"/>
        </w:rPr>
      </w:pPr>
      <w:r>
        <w:rPr>
          <w:rFonts w:hint="eastAsia" w:hAnsi="宋体" w:cs="楷体"/>
          <w:szCs w:val="24"/>
          <w:highlight w:val="none"/>
        </w:rPr>
        <w:t>1.成交供应商应严格遵守采购单位有关保密规定，不得泄漏一切机密；</w:t>
      </w:r>
    </w:p>
    <w:p w14:paraId="4E3074B3">
      <w:pPr>
        <w:pStyle w:val="6"/>
        <w:spacing w:line="360" w:lineRule="auto"/>
        <w:ind w:firstLine="480"/>
        <w:rPr>
          <w:rFonts w:hAnsi="宋体" w:cs="楷体"/>
          <w:b/>
          <w:color w:val="000000"/>
          <w:szCs w:val="24"/>
          <w:highlight w:val="none"/>
        </w:rPr>
      </w:pPr>
      <w:r>
        <w:rPr>
          <w:rFonts w:hint="eastAsia" w:hAnsi="宋体" w:cs="楷体"/>
          <w:szCs w:val="24"/>
          <w:highlight w:val="none"/>
        </w:rPr>
        <w:t>2.在技术服务期间，成交供应商对接触到的有关采购单位商业活动、技术情报和技术资料等文件进行保密。</w:t>
      </w:r>
    </w:p>
    <w:p w14:paraId="7F8652F1">
      <w:pPr>
        <w:pStyle w:val="6"/>
        <w:spacing w:line="360" w:lineRule="auto"/>
        <w:ind w:firstLine="0" w:firstLineChars="0"/>
        <w:rPr>
          <w:rFonts w:hAnsi="宋体" w:cs="楷体"/>
          <w:b/>
          <w:szCs w:val="24"/>
          <w:highlight w:val="none"/>
        </w:rPr>
      </w:pPr>
      <w:r>
        <w:rPr>
          <w:rFonts w:hint="eastAsia" w:hAnsi="宋体" w:cs="楷体"/>
          <w:b/>
          <w:color w:val="000000"/>
          <w:szCs w:val="24"/>
          <w:highlight w:val="none"/>
        </w:rPr>
        <w:t>十、违约责</w:t>
      </w:r>
      <w:r>
        <w:rPr>
          <w:rFonts w:hint="eastAsia" w:hAnsi="宋体" w:cs="楷体"/>
          <w:b/>
          <w:szCs w:val="24"/>
          <w:highlight w:val="none"/>
        </w:rPr>
        <w:t>任：</w:t>
      </w:r>
    </w:p>
    <w:p w14:paraId="008112BA">
      <w:pPr>
        <w:spacing w:line="360" w:lineRule="auto"/>
        <w:ind w:firstLine="480" w:firstLineChars="200"/>
        <w:rPr>
          <w:rFonts w:hAnsi="宋体" w:cs="楷体"/>
          <w:szCs w:val="24"/>
          <w:highlight w:val="none"/>
        </w:rPr>
      </w:pPr>
      <w:r>
        <w:rPr>
          <w:rFonts w:hint="eastAsia" w:hAnsi="宋体" w:cs="楷体"/>
          <w:szCs w:val="24"/>
          <w:highlight w:val="none"/>
        </w:rPr>
        <w:t>按《中华人民共和国政府采购法》、《中华人民共和国民法典》中的相关条款执行。</w:t>
      </w:r>
    </w:p>
    <w:p w14:paraId="06CDCEBD">
      <w:pPr>
        <w:adjustRightInd w:val="0"/>
        <w:snapToGrid w:val="0"/>
        <w:spacing w:line="360" w:lineRule="auto"/>
        <w:rPr>
          <w:rFonts w:hAnsi="宋体" w:cs="楷体"/>
          <w:b/>
          <w:color w:val="000000"/>
          <w:szCs w:val="24"/>
          <w:highlight w:val="none"/>
        </w:rPr>
      </w:pPr>
      <w:r>
        <w:rPr>
          <w:rFonts w:hint="eastAsia" w:hAnsi="宋体" w:cs="楷体"/>
          <w:b/>
          <w:color w:val="000000"/>
          <w:szCs w:val="24"/>
          <w:highlight w:val="none"/>
        </w:rPr>
        <w:t>十一、合同争议的解决</w:t>
      </w:r>
    </w:p>
    <w:p w14:paraId="5F77B08B">
      <w:pPr>
        <w:spacing w:line="360" w:lineRule="auto"/>
        <w:ind w:firstLine="480" w:firstLineChars="200"/>
        <w:rPr>
          <w:rFonts w:hAnsi="宋体" w:cs="楷体"/>
          <w:color w:val="000000"/>
          <w:szCs w:val="24"/>
          <w:highlight w:val="none"/>
        </w:rPr>
      </w:pPr>
      <w:r>
        <w:rPr>
          <w:rFonts w:hint="eastAsia" w:hAnsi="宋体" w:cs="楷体"/>
          <w:color w:val="000000"/>
          <w:szCs w:val="24"/>
          <w:highlight w:val="none"/>
        </w:rPr>
        <w:t>合同执行中发生争议的，当事人双方应协商解决，协商达不成一致时，可依法向有管辖权的人民法院起诉。</w:t>
      </w:r>
    </w:p>
    <w:p w14:paraId="4B7FEBBA">
      <w:pPr>
        <w:spacing w:line="360" w:lineRule="auto"/>
        <w:jc w:val="left"/>
        <w:rPr>
          <w:rFonts w:hAnsi="宋体" w:cs="楷体"/>
          <w:b/>
          <w:bCs/>
          <w:color w:val="000000"/>
          <w:szCs w:val="24"/>
          <w:highlight w:val="none"/>
        </w:rPr>
      </w:pPr>
      <w:r>
        <w:rPr>
          <w:rFonts w:hint="eastAsia" w:hAnsi="宋体" w:cs="楷体"/>
          <w:b/>
          <w:bCs/>
          <w:color w:val="000000"/>
          <w:szCs w:val="24"/>
          <w:highlight w:val="none"/>
        </w:rPr>
        <w:t>十二、不可抗力情况下的免责约定</w:t>
      </w:r>
    </w:p>
    <w:p w14:paraId="47B31844">
      <w:pPr>
        <w:spacing w:line="360" w:lineRule="auto"/>
        <w:jc w:val="left"/>
        <w:rPr>
          <w:rFonts w:hAnsi="宋体" w:cs="楷体"/>
          <w:color w:val="000000"/>
          <w:szCs w:val="24"/>
          <w:highlight w:val="none"/>
        </w:rPr>
      </w:pPr>
      <w:r>
        <w:rPr>
          <w:rFonts w:hint="eastAsia" w:hAnsi="宋体" w:cs="楷体"/>
          <w:color w:val="000000"/>
          <w:szCs w:val="24"/>
          <w:highlight w:val="none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0425C26F">
      <w:pPr>
        <w:spacing w:line="360" w:lineRule="auto"/>
        <w:rPr>
          <w:rFonts w:hAnsi="宋体" w:cs="楷体"/>
          <w:color w:val="000000"/>
          <w:szCs w:val="24"/>
          <w:highlight w:val="none"/>
        </w:rPr>
      </w:pPr>
      <w:r>
        <w:rPr>
          <w:rFonts w:hint="eastAsia" w:hAnsi="宋体" w:cs="楷体"/>
          <w:b/>
          <w:color w:val="000000"/>
          <w:szCs w:val="24"/>
          <w:highlight w:val="none"/>
        </w:rPr>
        <w:t>十三、其他</w:t>
      </w:r>
    </w:p>
    <w:p w14:paraId="7A6E0F94">
      <w:pPr>
        <w:spacing w:line="360" w:lineRule="auto"/>
        <w:rPr>
          <w:rFonts w:hAnsi="宋体" w:cs="楷体"/>
          <w:b/>
          <w:color w:val="000000"/>
          <w:szCs w:val="24"/>
          <w:highlight w:val="none"/>
        </w:rPr>
      </w:pPr>
      <w:r>
        <w:rPr>
          <w:rFonts w:hint="eastAsia" w:hAnsi="宋体" w:cs="楷体"/>
          <w:b/>
          <w:color w:val="000000"/>
          <w:szCs w:val="24"/>
          <w:highlight w:val="none"/>
        </w:rPr>
        <w:t>十四、合同订立</w:t>
      </w:r>
    </w:p>
    <w:p w14:paraId="6873997A">
      <w:pPr>
        <w:adjustRightInd w:val="0"/>
        <w:snapToGrid w:val="0"/>
        <w:spacing w:line="360" w:lineRule="auto"/>
        <w:ind w:firstLine="475" w:firstLineChars="198"/>
        <w:rPr>
          <w:rFonts w:hAnsi="宋体" w:cs="楷体"/>
          <w:color w:val="000000"/>
          <w:szCs w:val="24"/>
          <w:highlight w:val="none"/>
        </w:rPr>
      </w:pPr>
      <w:r>
        <w:rPr>
          <w:rFonts w:hint="eastAsia" w:hAnsi="宋体" w:cs="楷体"/>
          <w:color w:val="000000"/>
          <w:szCs w:val="24"/>
          <w:highlight w:val="none"/>
        </w:rPr>
        <w:t>1. 订立时间：</w:t>
      </w:r>
      <w:r>
        <w:rPr>
          <w:rFonts w:hint="eastAsia" w:hAnsi="宋体" w:cs="楷体"/>
          <w:color w:val="000000"/>
          <w:szCs w:val="24"/>
          <w:highlight w:val="none"/>
          <w:u w:val="single"/>
        </w:rPr>
        <w:t xml:space="preserve">          </w:t>
      </w:r>
      <w:r>
        <w:rPr>
          <w:rFonts w:hint="eastAsia" w:hAnsi="宋体" w:cs="楷体"/>
          <w:color w:val="000000"/>
          <w:szCs w:val="24"/>
          <w:highlight w:val="none"/>
        </w:rPr>
        <w:t>年</w:t>
      </w:r>
      <w:r>
        <w:rPr>
          <w:rFonts w:hint="eastAsia" w:hAnsi="宋体" w:cs="楷体"/>
          <w:color w:val="000000"/>
          <w:szCs w:val="24"/>
          <w:highlight w:val="none"/>
          <w:u w:val="single"/>
        </w:rPr>
        <w:t xml:space="preserve">       </w:t>
      </w:r>
      <w:r>
        <w:rPr>
          <w:rFonts w:hint="eastAsia" w:hAnsi="宋体" w:cs="楷体"/>
          <w:color w:val="000000"/>
          <w:szCs w:val="24"/>
          <w:highlight w:val="none"/>
        </w:rPr>
        <w:t>月</w:t>
      </w:r>
      <w:r>
        <w:rPr>
          <w:rFonts w:hint="eastAsia" w:hAnsi="宋体" w:cs="楷体"/>
          <w:color w:val="000000"/>
          <w:szCs w:val="24"/>
          <w:highlight w:val="none"/>
          <w:u w:val="single"/>
        </w:rPr>
        <w:t xml:space="preserve">      </w:t>
      </w:r>
      <w:r>
        <w:rPr>
          <w:rFonts w:hint="eastAsia" w:hAnsi="宋体" w:cs="楷体"/>
          <w:color w:val="000000"/>
          <w:szCs w:val="24"/>
          <w:highlight w:val="none"/>
        </w:rPr>
        <w:t>日。</w:t>
      </w:r>
    </w:p>
    <w:p w14:paraId="226F15C0">
      <w:pPr>
        <w:adjustRightInd w:val="0"/>
        <w:snapToGrid w:val="0"/>
        <w:spacing w:line="360" w:lineRule="auto"/>
        <w:ind w:firstLine="475" w:firstLineChars="198"/>
        <w:rPr>
          <w:rFonts w:hAnsi="宋体" w:cs="楷体"/>
          <w:color w:val="000000"/>
          <w:szCs w:val="24"/>
          <w:highlight w:val="none"/>
        </w:rPr>
      </w:pPr>
      <w:r>
        <w:rPr>
          <w:rFonts w:hint="eastAsia" w:hAnsi="宋体" w:cs="楷体"/>
          <w:color w:val="000000"/>
          <w:szCs w:val="24"/>
          <w:highlight w:val="none"/>
        </w:rPr>
        <w:t>2. 订立地点：</w:t>
      </w:r>
      <w:r>
        <w:rPr>
          <w:rFonts w:hint="eastAsia" w:hAnsi="宋体" w:cs="楷体"/>
          <w:color w:val="000000"/>
          <w:szCs w:val="24"/>
          <w:highlight w:val="none"/>
          <w:u w:val="single"/>
        </w:rPr>
        <w:t xml:space="preserve">                                 </w:t>
      </w:r>
      <w:r>
        <w:rPr>
          <w:rFonts w:hint="eastAsia" w:hAnsi="宋体" w:cs="楷体"/>
          <w:color w:val="000000"/>
          <w:szCs w:val="24"/>
          <w:highlight w:val="none"/>
        </w:rPr>
        <w:t>。</w:t>
      </w:r>
    </w:p>
    <w:p w14:paraId="54F76A5C">
      <w:pPr>
        <w:tabs>
          <w:tab w:val="left" w:pos="980"/>
        </w:tabs>
        <w:kinsoku w:val="0"/>
        <w:spacing w:line="360" w:lineRule="auto"/>
        <w:ind w:firstLine="480" w:firstLineChars="200"/>
        <w:rPr>
          <w:rFonts w:hAnsi="宋体" w:cs="楷体"/>
          <w:color w:val="000000"/>
          <w:szCs w:val="24"/>
          <w:highlight w:val="none"/>
        </w:rPr>
      </w:pPr>
      <w:r>
        <w:rPr>
          <w:rFonts w:hint="eastAsia" w:hAnsi="宋体" w:cs="楷体"/>
          <w:color w:val="000000"/>
          <w:szCs w:val="24"/>
          <w:highlight w:val="none"/>
        </w:rPr>
        <w:t>3. 本合同一式</w:t>
      </w:r>
      <w:r>
        <w:rPr>
          <w:rFonts w:hint="eastAsia" w:hAnsi="宋体" w:cs="楷体"/>
          <w:color w:val="000000"/>
          <w:szCs w:val="24"/>
          <w:highlight w:val="none"/>
          <w:u w:val="single"/>
        </w:rPr>
        <w:t xml:space="preserve"> 伍 </w:t>
      </w:r>
      <w:r>
        <w:rPr>
          <w:rFonts w:hint="eastAsia" w:hAnsi="宋体" w:cs="楷体"/>
          <w:color w:val="000000"/>
          <w:szCs w:val="24"/>
          <w:highlight w:val="none"/>
        </w:rPr>
        <w:t>份，具有同等法律效力，双方各执</w:t>
      </w:r>
      <w:r>
        <w:rPr>
          <w:rFonts w:hint="eastAsia" w:hAnsi="宋体" w:cs="楷体"/>
          <w:color w:val="000000"/>
          <w:szCs w:val="24"/>
          <w:highlight w:val="none"/>
          <w:u w:val="single"/>
        </w:rPr>
        <w:t xml:space="preserve"> 贰 </w:t>
      </w:r>
      <w:r>
        <w:rPr>
          <w:rFonts w:hint="eastAsia" w:hAnsi="宋体" w:cs="楷体"/>
          <w:color w:val="000000"/>
          <w:szCs w:val="24"/>
          <w:highlight w:val="none"/>
        </w:rPr>
        <w:t>份招标代理机构存档</w:t>
      </w:r>
      <w:r>
        <w:rPr>
          <w:rFonts w:hint="eastAsia" w:hAnsi="宋体" w:cs="楷体"/>
          <w:color w:val="000000"/>
          <w:szCs w:val="24"/>
          <w:highlight w:val="none"/>
          <w:u w:val="single"/>
        </w:rPr>
        <w:t xml:space="preserve"> 壹 </w:t>
      </w:r>
      <w:r>
        <w:rPr>
          <w:rFonts w:hint="eastAsia" w:hAnsi="宋体" w:cs="楷体"/>
          <w:color w:val="000000"/>
          <w:szCs w:val="24"/>
          <w:highlight w:val="none"/>
        </w:rPr>
        <w:t>份。各方签字盖章后生效，合同执行完毕自动失效。</w:t>
      </w:r>
    </w:p>
    <w:p w14:paraId="047395F2">
      <w:pPr>
        <w:pStyle w:val="2"/>
        <w:ind w:firstLine="480"/>
        <w:rPr>
          <w:highlight w:val="none"/>
        </w:rPr>
      </w:pPr>
    </w:p>
    <w:p w14:paraId="520621FE">
      <w:pPr>
        <w:pStyle w:val="2"/>
        <w:ind w:firstLine="480"/>
        <w:rPr>
          <w:highlight w:val="none"/>
        </w:rPr>
      </w:pPr>
    </w:p>
    <w:p w14:paraId="002CBDC3">
      <w:pPr>
        <w:pStyle w:val="2"/>
        <w:ind w:firstLine="480"/>
        <w:rPr>
          <w:highlight w:val="none"/>
        </w:rPr>
      </w:pPr>
    </w:p>
    <w:p w14:paraId="3BE41E0A">
      <w:pPr>
        <w:pStyle w:val="2"/>
        <w:ind w:firstLine="480"/>
        <w:rPr>
          <w:highlight w:val="none"/>
        </w:rPr>
      </w:pPr>
    </w:p>
    <w:p w14:paraId="39A53F38">
      <w:pPr>
        <w:pStyle w:val="2"/>
        <w:ind w:firstLine="480"/>
        <w:rPr>
          <w:highlight w:val="none"/>
        </w:rPr>
      </w:pPr>
    </w:p>
    <w:p w14:paraId="46B32039">
      <w:pPr>
        <w:tabs>
          <w:tab w:val="left" w:pos="480"/>
        </w:tabs>
        <w:spacing w:line="360" w:lineRule="auto"/>
        <w:jc w:val="center"/>
        <w:rPr>
          <w:rFonts w:hAnsi="宋体" w:cs="楷体"/>
          <w:b/>
          <w:color w:val="000000"/>
          <w:szCs w:val="24"/>
          <w:highlight w:val="none"/>
        </w:rPr>
      </w:pPr>
      <w:r>
        <w:rPr>
          <w:rFonts w:hint="eastAsia" w:hAnsi="宋体" w:cs="楷体"/>
          <w:b/>
          <w:color w:val="000000"/>
          <w:szCs w:val="24"/>
          <w:highlight w:val="none"/>
        </w:rPr>
        <w:t>甲  方（公章）</w:t>
      </w:r>
      <w:r>
        <w:rPr>
          <w:rFonts w:hint="eastAsia" w:hAnsi="宋体" w:cs="楷体"/>
          <w:color w:val="000000"/>
          <w:szCs w:val="24"/>
          <w:highlight w:val="none"/>
        </w:rPr>
        <w:t xml:space="preserve">                      </w:t>
      </w:r>
      <w:r>
        <w:rPr>
          <w:rFonts w:hint="eastAsia" w:hAnsi="宋体" w:cs="楷体"/>
          <w:b/>
          <w:color w:val="000000"/>
          <w:szCs w:val="24"/>
          <w:highlight w:val="none"/>
        </w:rPr>
        <w:t>乙  方（公章）</w:t>
      </w:r>
    </w:p>
    <w:p w14:paraId="49DD55E5">
      <w:pPr>
        <w:tabs>
          <w:tab w:val="left" w:pos="480"/>
        </w:tabs>
        <w:spacing w:line="360" w:lineRule="auto"/>
        <w:ind w:left="5280" w:leftChars="500" w:hanging="4080" w:hangingChars="1700"/>
        <w:rPr>
          <w:rFonts w:hAnsi="宋体" w:cs="楷体"/>
          <w:color w:val="000000"/>
          <w:szCs w:val="24"/>
          <w:highlight w:val="none"/>
        </w:rPr>
      </w:pPr>
      <w:r>
        <w:rPr>
          <w:rFonts w:hint="eastAsia" w:hAnsi="宋体" w:cs="楷体"/>
          <w:color w:val="000000"/>
          <w:szCs w:val="24"/>
          <w:highlight w:val="none"/>
        </w:rPr>
        <w:t>单位名称：                          单位名称：</w:t>
      </w:r>
    </w:p>
    <w:p w14:paraId="58AC03EF">
      <w:pPr>
        <w:tabs>
          <w:tab w:val="left" w:pos="480"/>
        </w:tabs>
        <w:wordWrap w:val="0"/>
        <w:spacing w:line="360" w:lineRule="auto"/>
        <w:ind w:firstLine="1200" w:firstLineChars="500"/>
        <w:rPr>
          <w:rFonts w:hAnsi="宋体" w:cs="楷体"/>
          <w:color w:val="000000"/>
          <w:szCs w:val="24"/>
          <w:highlight w:val="none"/>
        </w:rPr>
      </w:pPr>
      <w:r>
        <w:rPr>
          <w:rFonts w:hint="eastAsia" w:hAnsi="宋体" w:cs="楷体"/>
          <w:color w:val="000000"/>
          <w:szCs w:val="24"/>
          <w:highlight w:val="none"/>
        </w:rPr>
        <w:t>地    址：                          地  址：</w:t>
      </w:r>
    </w:p>
    <w:p w14:paraId="48FBA76D">
      <w:pPr>
        <w:tabs>
          <w:tab w:val="left" w:pos="480"/>
        </w:tabs>
        <w:spacing w:line="360" w:lineRule="auto"/>
        <w:ind w:firstLine="1200" w:firstLineChars="500"/>
        <w:rPr>
          <w:rFonts w:hAnsi="宋体" w:cs="楷体"/>
          <w:color w:val="000000"/>
          <w:szCs w:val="24"/>
          <w:highlight w:val="none"/>
        </w:rPr>
      </w:pPr>
      <w:r>
        <w:rPr>
          <w:rFonts w:hint="eastAsia" w:hAnsi="宋体" w:cs="楷体"/>
          <w:color w:val="000000"/>
          <w:szCs w:val="24"/>
          <w:highlight w:val="none"/>
        </w:rPr>
        <w:t>代 理 人：                          代 理 人：</w:t>
      </w:r>
    </w:p>
    <w:p w14:paraId="7C594D8F">
      <w:pPr>
        <w:tabs>
          <w:tab w:val="left" w:pos="480"/>
        </w:tabs>
        <w:spacing w:line="360" w:lineRule="auto"/>
        <w:ind w:firstLine="1200" w:firstLineChars="500"/>
        <w:rPr>
          <w:rFonts w:hAnsi="宋体" w:cs="楷体"/>
          <w:color w:val="000000"/>
          <w:szCs w:val="24"/>
          <w:highlight w:val="none"/>
        </w:rPr>
      </w:pPr>
      <w:r>
        <w:rPr>
          <w:rFonts w:hint="eastAsia" w:hAnsi="宋体" w:cs="楷体"/>
          <w:color w:val="000000"/>
          <w:szCs w:val="24"/>
          <w:highlight w:val="none"/>
        </w:rPr>
        <w:t>联系电话：                          联系电话：</w:t>
      </w:r>
    </w:p>
    <w:p w14:paraId="7D65FA79">
      <w:pPr>
        <w:tabs>
          <w:tab w:val="left" w:pos="480"/>
        </w:tabs>
        <w:spacing w:line="360" w:lineRule="auto"/>
        <w:jc w:val="center"/>
        <w:rPr>
          <w:rFonts w:hAnsi="宋体" w:cs="楷体"/>
          <w:color w:val="000000"/>
          <w:szCs w:val="24"/>
          <w:highlight w:val="none"/>
        </w:rPr>
      </w:pPr>
      <w:r>
        <w:rPr>
          <w:rFonts w:hint="eastAsia" w:hAnsi="宋体" w:cs="楷体"/>
          <w:color w:val="000000"/>
          <w:szCs w:val="24"/>
          <w:highlight w:val="none"/>
        </w:rPr>
        <w:t xml:space="preserve">                                 </w:t>
      </w:r>
      <w:r>
        <w:rPr>
          <w:rFonts w:hint="eastAsia" w:hAnsi="宋体" w:eastAsia="宋体" w:cs="楷体"/>
          <w:color w:val="000000"/>
          <w:szCs w:val="24"/>
          <w:highlight w:val="none"/>
          <w:lang w:val="en-US" w:eastAsia="zh-CN"/>
        </w:rPr>
        <w:t>账</w:t>
      </w:r>
      <w:r>
        <w:rPr>
          <w:rFonts w:hint="eastAsia" w:hAnsi="宋体" w:cs="楷体"/>
          <w:color w:val="000000"/>
          <w:szCs w:val="24"/>
          <w:highlight w:val="none"/>
        </w:rPr>
        <w:t xml:space="preserve">    号：</w:t>
      </w:r>
    </w:p>
    <w:p w14:paraId="34C99840">
      <w:pPr>
        <w:tabs>
          <w:tab w:val="left" w:pos="480"/>
        </w:tabs>
        <w:spacing w:line="360" w:lineRule="auto"/>
        <w:jc w:val="center"/>
        <w:rPr>
          <w:rFonts w:hAnsi="宋体" w:cs="楷体"/>
          <w:color w:val="000000"/>
          <w:szCs w:val="24"/>
          <w:highlight w:val="none"/>
        </w:rPr>
      </w:pPr>
      <w:r>
        <w:rPr>
          <w:rFonts w:hint="eastAsia" w:hAnsi="宋体" w:cs="楷体"/>
          <w:color w:val="000000"/>
          <w:szCs w:val="24"/>
          <w:highlight w:val="none"/>
        </w:rPr>
        <w:t xml:space="preserve">                                 开户银行：</w:t>
      </w:r>
    </w:p>
    <w:p w14:paraId="619EE3E2">
      <w:pPr>
        <w:pStyle w:val="3"/>
        <w:spacing w:line="360" w:lineRule="auto"/>
        <w:ind w:firstLine="1200" w:firstLineChars="500"/>
        <w:jc w:val="both"/>
        <w:rPr>
          <w:rFonts w:ascii="宋体" w:hAnsi="宋体" w:cs="楷体"/>
          <w:sz w:val="24"/>
          <w:szCs w:val="24"/>
          <w:highlight w:val="none"/>
        </w:rPr>
      </w:pPr>
      <w:r>
        <w:rPr>
          <w:rFonts w:hint="eastAsia" w:ascii="宋体" w:hAnsi="宋体" w:cs="楷体"/>
          <w:color w:val="000000"/>
          <w:sz w:val="24"/>
          <w:szCs w:val="24"/>
          <w:highlight w:val="none"/>
        </w:rPr>
        <w:t>签订日期：                          签订日期：</w:t>
      </w:r>
    </w:p>
    <w:p w14:paraId="3FF0063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734F8E"/>
    <w:multiLevelType w:val="singleLevel"/>
    <w:tmpl w:val="2E734F8E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8F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customStyle="1" w:styleId="6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2025-07-25T09:23:56Z</dcterms:created>
  <dc:creator>Administrator</dc:creator>
  <cp:lastModifiedBy>WPS_1544074700</cp:lastModifiedBy>
  <dcterms:modified xsi:type="dcterms:W3CDTF">2025-07-25T09:25:27Z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eyJoZGlkIjoiMWIzZTM2YzEzOTlhYmZkYTRiMzk2NGE2M2YyZjBjMDYiLCJ1c2VySWQiOiI0Mzk3ODY0MTQifQ==</vt:lpwstr>
  </property>
  <property fmtid="{D5CDD505-2E9C-101B-9397-08002B2CF9AE}" pid="4" name="ICV">
    <vt:lpwstr>A1E897420A874EC0ABE6ED16405B9528_12</vt:lpwstr>
  </property>
</Properties>
</file>