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0A716">
      <w:pPr>
        <w:pStyle w:val="12"/>
        <w:jc w:val="center"/>
        <w:outlineLvl w:val="1"/>
        <w:rPr>
          <w:rFonts w:hint="eastAsia" w:ascii="黑体" w:eastAsia="黑体"/>
          <w:b/>
          <w:sz w:val="32"/>
          <w:szCs w:val="32"/>
        </w:rPr>
      </w:pPr>
      <w:r>
        <w:rPr>
          <w:b/>
          <w:sz w:val="36"/>
        </w:rPr>
        <w:t>拟签订</w:t>
      </w:r>
      <w:bookmarkStart w:id="0" w:name="_GoBack"/>
      <w:r>
        <w:rPr>
          <w:b/>
          <w:sz w:val="36"/>
        </w:rPr>
        <w:t>合同文本</w:t>
      </w:r>
      <w:bookmarkEnd w:id="0"/>
    </w:p>
    <w:p w14:paraId="75F1CEE7">
      <w:pPr>
        <w:rPr>
          <w:rFonts w:hint="default" w:ascii="黑体" w:eastAsia="黑体"/>
          <w:b/>
          <w:sz w:val="32"/>
          <w:szCs w:val="32"/>
          <w:lang w:val="en-US" w:eastAsia="zh-CN"/>
        </w:rPr>
      </w:pPr>
      <w:r>
        <w:rPr>
          <w:rFonts w:hint="eastAsia" w:ascii="黑体" w:eastAsia="黑体"/>
          <w:b/>
          <w:sz w:val="32"/>
          <w:szCs w:val="32"/>
        </w:rPr>
        <w:t>合同编号：DWYY-202</w:t>
      </w:r>
      <w:r>
        <w:rPr>
          <w:rFonts w:hint="eastAsia" w:ascii="黑体" w:eastAsia="黑体"/>
          <w:b/>
          <w:sz w:val="32"/>
          <w:szCs w:val="32"/>
          <w:lang w:val="en-US" w:eastAsia="zh-CN"/>
        </w:rPr>
        <w:t>5</w:t>
      </w:r>
      <w:r>
        <w:rPr>
          <w:rFonts w:hint="eastAsia" w:ascii="黑体" w:eastAsia="黑体"/>
          <w:b/>
          <w:sz w:val="32"/>
          <w:szCs w:val="32"/>
        </w:rPr>
        <w:t>-SBK-H-</w:t>
      </w:r>
      <w:r>
        <w:rPr>
          <w:rFonts w:hint="eastAsia" w:ascii="黑体" w:eastAsia="黑体"/>
          <w:b/>
          <w:sz w:val="32"/>
          <w:szCs w:val="32"/>
          <w:lang w:val="en-US" w:eastAsia="zh-CN"/>
        </w:rPr>
        <w:t xml:space="preserve">   </w:t>
      </w:r>
      <w:r>
        <w:rPr>
          <w:snapToGrid/>
        </w:rPr>
        <w:drawing>
          <wp:anchor distT="0" distB="0" distL="114300" distR="114300" simplePos="0" relativeHeight="251659264" behindDoc="1" locked="0" layoutInCell="1" allowOverlap="1">
            <wp:simplePos x="0" y="0"/>
            <wp:positionH relativeFrom="column">
              <wp:posOffset>3206750</wp:posOffset>
            </wp:positionH>
            <wp:positionV relativeFrom="paragraph">
              <wp:posOffset>186690</wp:posOffset>
            </wp:positionV>
            <wp:extent cx="2457450" cy="1052830"/>
            <wp:effectExtent l="0" t="0" r="0" b="13970"/>
            <wp:wrapNone/>
            <wp:docPr id="3"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logo（2022"/>
                    <pic:cNvPicPr>
                      <a:picLocks noChangeAspect="1"/>
                    </pic:cNvPicPr>
                  </pic:nvPicPr>
                  <pic:blipFill>
                    <a:blip r:embed="rId5"/>
                    <a:stretch>
                      <a:fillRect/>
                    </a:stretch>
                  </pic:blipFill>
                  <pic:spPr>
                    <a:xfrm>
                      <a:off x="0" y="0"/>
                      <a:ext cx="2457450" cy="1052830"/>
                    </a:xfrm>
                    <a:prstGeom prst="rect">
                      <a:avLst/>
                    </a:prstGeom>
                    <a:noFill/>
                    <a:ln>
                      <a:noFill/>
                    </a:ln>
                  </pic:spPr>
                </pic:pic>
              </a:graphicData>
            </a:graphic>
          </wp:anchor>
        </w:drawing>
      </w:r>
    </w:p>
    <w:p w14:paraId="048A0E46">
      <w:pPr>
        <w:jc w:val="center"/>
        <w:rPr>
          <w:rFonts w:ascii="黑体" w:eastAsia="黑体"/>
          <w:sz w:val="52"/>
          <w:szCs w:val="52"/>
        </w:rPr>
      </w:pPr>
      <w:r>
        <w:rPr>
          <w:rFonts w:hint="eastAsia" w:ascii="黑体" w:eastAsia="黑体"/>
          <w:sz w:val="52"/>
          <w:szCs w:val="52"/>
        </w:rPr>
        <w:t xml:space="preserve">         </w:t>
      </w:r>
    </w:p>
    <w:p w14:paraId="0D659B62">
      <w:pPr>
        <w:jc w:val="center"/>
        <w:rPr>
          <w:rFonts w:hint="eastAsia" w:ascii="宋体" w:hAnsi="宋体"/>
          <w:b/>
          <w:sz w:val="48"/>
          <w:szCs w:val="48"/>
        </w:rPr>
      </w:pPr>
    </w:p>
    <w:p w14:paraId="1F15185F">
      <w:pPr>
        <w:jc w:val="center"/>
        <w:rPr>
          <w:rFonts w:ascii="宋体" w:hAnsi="宋体"/>
          <w:b/>
          <w:sz w:val="48"/>
          <w:szCs w:val="48"/>
        </w:rPr>
      </w:pPr>
      <w:r>
        <w:rPr>
          <w:rFonts w:hint="eastAsia" w:ascii="宋体" w:hAnsi="宋体"/>
          <w:b/>
          <w:sz w:val="48"/>
          <w:szCs w:val="48"/>
        </w:rPr>
        <w:t>西安市第五医院</w:t>
      </w:r>
    </w:p>
    <w:p w14:paraId="387435AB">
      <w:pPr>
        <w:jc w:val="center"/>
        <w:rPr>
          <w:rFonts w:ascii="宋体" w:hAnsi="宋体"/>
          <w:b/>
          <w:sz w:val="40"/>
          <w:szCs w:val="48"/>
        </w:rPr>
      </w:pPr>
    </w:p>
    <w:p w14:paraId="163A83B2">
      <w:pPr>
        <w:jc w:val="center"/>
        <w:rPr>
          <w:rFonts w:ascii="宋体" w:hAnsi="宋体"/>
          <w:b/>
          <w:sz w:val="40"/>
          <w:szCs w:val="48"/>
        </w:rPr>
      </w:pPr>
      <w:r>
        <w:rPr>
          <w:rFonts w:hint="eastAsia" w:ascii="宋体" w:hAnsi="宋体"/>
          <w:b/>
          <w:sz w:val="40"/>
          <w:szCs w:val="48"/>
        </w:rPr>
        <w:t>（项目名称:</w:t>
      </w:r>
      <w:r>
        <w:rPr>
          <w:rFonts w:ascii="宋体" w:hAnsi="宋体" w:cs="仿宋"/>
          <w:spacing w:val="10"/>
          <w:sz w:val="28"/>
          <w:szCs w:val="28"/>
        </w:rPr>
        <w:t xml:space="preserve"> </w:t>
      </w:r>
      <w:r>
        <w:rPr>
          <w:rFonts w:hint="eastAsia" w:ascii="宋体" w:hAnsi="宋体" w:cs="Times New Roman"/>
          <w:b/>
          <w:snapToGrid/>
          <w:sz w:val="40"/>
          <w:szCs w:val="48"/>
          <w:lang w:eastAsia="zh-CN"/>
        </w:rPr>
        <w:t>西安市第五医院微波治疗仪等零星设备一批采购项目</w:t>
      </w:r>
      <w:r>
        <w:rPr>
          <w:rFonts w:hint="eastAsia" w:ascii="宋体" w:hAnsi="宋体"/>
          <w:b/>
          <w:sz w:val="40"/>
          <w:szCs w:val="48"/>
        </w:rPr>
        <w:t>）</w:t>
      </w:r>
    </w:p>
    <w:p w14:paraId="3F09DF0B">
      <w:pPr>
        <w:jc w:val="both"/>
        <w:rPr>
          <w:rFonts w:hint="eastAsia" w:ascii="黑体" w:eastAsia="黑体"/>
          <w:b/>
          <w:sz w:val="72"/>
          <w:szCs w:val="72"/>
        </w:rPr>
      </w:pPr>
    </w:p>
    <w:p w14:paraId="3DACC378">
      <w:pPr>
        <w:jc w:val="center"/>
        <w:rPr>
          <w:rFonts w:ascii="黑体" w:eastAsia="黑体"/>
          <w:b/>
          <w:sz w:val="72"/>
          <w:szCs w:val="72"/>
        </w:rPr>
      </w:pPr>
      <w:r>
        <w:rPr>
          <w:rFonts w:hint="eastAsia" w:ascii="黑体" w:eastAsia="黑体"/>
          <w:b/>
          <w:sz w:val="72"/>
          <w:szCs w:val="72"/>
        </w:rPr>
        <w:t>买 卖 合 同</w:t>
      </w:r>
    </w:p>
    <w:p w14:paraId="321DB23E">
      <w:pPr>
        <w:jc w:val="center"/>
        <w:rPr>
          <w:rFonts w:ascii="黑体" w:eastAsia="黑体"/>
          <w:sz w:val="30"/>
          <w:szCs w:val="30"/>
        </w:rPr>
      </w:pPr>
      <w:r>
        <w:rPr>
          <w:rFonts w:hint="eastAsia" w:ascii="宋体" w:hAnsi="宋体"/>
          <w:b/>
          <w:sz w:val="40"/>
          <w:szCs w:val="48"/>
        </w:rPr>
        <w:t>（项目编号:        ）</w:t>
      </w:r>
    </w:p>
    <w:p w14:paraId="33616D5E">
      <w:pPr>
        <w:ind w:firstLine="2720" w:firstLineChars="850"/>
        <w:rPr>
          <w:rFonts w:hint="eastAsia" w:ascii="黑体" w:eastAsia="黑体"/>
          <w:sz w:val="32"/>
          <w:szCs w:val="32"/>
        </w:rPr>
      </w:pPr>
    </w:p>
    <w:p w14:paraId="2896E3EE">
      <w:pPr>
        <w:ind w:firstLine="2720" w:firstLineChars="850"/>
        <w:rPr>
          <w:rFonts w:hint="eastAsia" w:ascii="黑体" w:eastAsia="黑体"/>
          <w:sz w:val="32"/>
          <w:szCs w:val="32"/>
        </w:rPr>
      </w:pPr>
    </w:p>
    <w:p w14:paraId="51E15EAA">
      <w:pPr>
        <w:ind w:firstLine="2720" w:firstLineChars="850"/>
        <w:rPr>
          <w:rFonts w:ascii="黑体" w:eastAsia="黑体"/>
          <w:sz w:val="32"/>
          <w:szCs w:val="32"/>
        </w:rPr>
      </w:pPr>
      <w:r>
        <w:rPr>
          <w:rFonts w:hint="eastAsia" w:ascii="黑体" w:eastAsia="黑体"/>
          <w:sz w:val="32"/>
          <w:szCs w:val="32"/>
        </w:rPr>
        <w:t>甲  方：西安市第五医院</w:t>
      </w:r>
    </w:p>
    <w:p w14:paraId="264F2DA2">
      <w:pPr>
        <w:ind w:firstLine="2720" w:firstLineChars="850"/>
        <w:rPr>
          <w:rFonts w:ascii="黑体" w:eastAsia="黑体"/>
          <w:sz w:val="32"/>
          <w:szCs w:val="32"/>
        </w:rPr>
      </w:pPr>
      <w:r>
        <w:rPr>
          <w:rFonts w:hint="eastAsia" w:ascii="黑体" w:hAnsi="黑体" w:eastAsia="黑体"/>
          <w:sz w:val="32"/>
          <w:szCs w:val="32"/>
        </w:rPr>
        <w:t>乙  方：</w:t>
      </w:r>
    </w:p>
    <w:p w14:paraId="0FA72D26">
      <w:pPr>
        <w:rPr>
          <w:rFonts w:ascii="黑体" w:eastAsia="黑体"/>
          <w:sz w:val="30"/>
          <w:szCs w:val="30"/>
        </w:rPr>
      </w:pPr>
    </w:p>
    <w:p w14:paraId="5E0356DC">
      <w:pPr>
        <w:jc w:val="center"/>
        <w:rPr>
          <w:rFonts w:hint="eastAsia" w:ascii="黑体" w:eastAsia="黑体"/>
          <w:sz w:val="32"/>
          <w:szCs w:val="32"/>
        </w:rPr>
      </w:pPr>
    </w:p>
    <w:p w14:paraId="053D0DFB">
      <w:pPr>
        <w:jc w:val="center"/>
        <w:rPr>
          <w:rFonts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 月</w:t>
      </w:r>
    </w:p>
    <w:p w14:paraId="4DC3FC2A">
      <w:pPr>
        <w:keepNext w:val="0"/>
        <w:keepLines w:val="0"/>
        <w:pageBreakBefore w:val="0"/>
        <w:kinsoku/>
        <w:wordWrap/>
        <w:overflowPunct/>
        <w:topLinePunct w:val="0"/>
        <w:autoSpaceDE/>
        <w:autoSpaceDN/>
        <w:bidi w:val="0"/>
        <w:adjustRightInd/>
        <w:spacing w:before="189" w:line="360" w:lineRule="auto"/>
        <w:jc w:val="center"/>
        <w:textAlignment w:val="auto"/>
        <w:rPr>
          <w:rFonts w:hint="eastAsia" w:ascii="黑体" w:eastAsia="黑体"/>
          <w:sz w:val="32"/>
          <w:szCs w:val="32"/>
        </w:rPr>
      </w:pPr>
      <w:r>
        <w:rPr>
          <w:rFonts w:hint="eastAsia" w:ascii="黑体" w:eastAsia="黑体"/>
          <w:sz w:val="32"/>
          <w:szCs w:val="32"/>
        </w:rPr>
        <w:t>中国  西安</w:t>
      </w:r>
    </w:p>
    <w:p w14:paraId="2479240E">
      <w:pPr>
        <w:keepNext w:val="0"/>
        <w:keepLines w:val="0"/>
        <w:pageBreakBefore w:val="0"/>
        <w:kinsoku/>
        <w:wordWrap/>
        <w:overflowPunct/>
        <w:topLinePunct w:val="0"/>
        <w:bidi w:val="0"/>
        <w:spacing w:line="360" w:lineRule="auto"/>
        <w:jc w:val="both"/>
        <w:rPr>
          <w:rFonts w:hint="eastAsia" w:ascii="宋体" w:hAnsi="宋体" w:eastAsia="宋体" w:cs="宋体"/>
          <w:color w:val="auto"/>
          <w:sz w:val="24"/>
          <w:szCs w:val="24"/>
          <w:u w:val="single"/>
          <w:lang w:val="en-US" w:eastAsia="zh-CN"/>
        </w:rPr>
      </w:pPr>
      <w:r>
        <w:rPr>
          <w:rFonts w:hint="eastAsia" w:ascii="黑体" w:eastAsia="黑体"/>
          <w:sz w:val="32"/>
          <w:szCs w:val="32"/>
        </w:rPr>
        <w:br w:type="page"/>
      </w:r>
      <w:r>
        <w:rPr>
          <w:rFonts w:hint="eastAsia" w:ascii="黑体" w:eastAsia="黑体"/>
          <w:sz w:val="32"/>
          <w:szCs w:val="32"/>
          <w:lang w:val="en-US" w:eastAsia="zh-CN"/>
        </w:rPr>
        <w:t xml:space="preserve">   </w:t>
      </w:r>
      <w:r>
        <w:rPr>
          <w:rFonts w:hint="eastAsia" w:ascii="宋体" w:hAnsi="宋体" w:eastAsia="宋体" w:cs="宋体"/>
          <w:color w:val="auto"/>
          <w:sz w:val="24"/>
          <w:szCs w:val="24"/>
        </w:rPr>
        <w:t>甲</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方：</w:t>
      </w:r>
      <w:r>
        <w:rPr>
          <w:rFonts w:hint="eastAsia" w:ascii="宋体" w:hAnsi="宋体" w:eastAsia="宋体" w:cs="宋体"/>
          <w:color w:val="auto"/>
          <w:sz w:val="24"/>
          <w:szCs w:val="24"/>
          <w:u w:val="single"/>
        </w:rPr>
        <w:t>西安市第五医院</w:t>
      </w:r>
      <w:r>
        <w:rPr>
          <w:rFonts w:hint="eastAsia" w:ascii="宋体" w:hAnsi="宋体" w:eastAsia="宋体" w:cs="宋体"/>
          <w:color w:val="auto"/>
          <w:sz w:val="24"/>
          <w:szCs w:val="24"/>
          <w:u w:val="single"/>
          <w:lang w:val="en-US" w:eastAsia="zh-CN"/>
        </w:rPr>
        <w:t xml:space="preserve"> </w:t>
      </w:r>
    </w:p>
    <w:p w14:paraId="5C7EF6BF">
      <w:pPr>
        <w:keepNext w:val="0"/>
        <w:keepLines w:val="0"/>
        <w:pageBreakBefore w:val="0"/>
        <w:widowControl w:val="0"/>
        <w:suppressLineNumbers w:val="0"/>
        <w:tabs>
          <w:tab w:val="left" w:pos="480"/>
        </w:tabs>
        <w:kinsoku/>
        <w:wordWrap/>
        <w:overflowPunct/>
        <w:topLinePunct w:val="0"/>
        <w:bidi w:val="0"/>
        <w:spacing w:before="0" w:beforeAutospacing="0" w:after="0" w:afterAutospacing="0" w:line="360" w:lineRule="auto"/>
        <w:ind w:right="0" w:firstLine="480" w:firstLineChars="200"/>
        <w:jc w:val="both"/>
        <w:rPr>
          <w:rFonts w:hint="eastAsia" w:ascii="宋体" w:hAnsi="宋体" w:eastAsia="宋体" w:cs="宋体"/>
          <w:color w:val="auto"/>
          <w:sz w:val="24"/>
          <w:szCs w:val="24"/>
          <w:lang w:val="en-US"/>
        </w:rPr>
      </w:pPr>
      <w:r>
        <w:rPr>
          <w:rFonts w:hint="eastAsia" w:ascii="宋体" w:hAnsi="宋体" w:eastAsia="宋体" w:cs="宋体"/>
          <w:color w:val="auto"/>
          <w:sz w:val="24"/>
          <w:szCs w:val="24"/>
        </w:rPr>
        <w:t>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方：</w:t>
      </w:r>
    </w:p>
    <w:p w14:paraId="129D4D59">
      <w:pPr>
        <w:keepNext w:val="0"/>
        <w:keepLines w:val="0"/>
        <w:pageBreakBefore w:val="0"/>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甲方所需货物，在西安市财政局政府采购管理处的监督管理下，按照政府采购程序组织</w:t>
      </w:r>
      <w:r>
        <w:rPr>
          <w:rFonts w:hint="eastAsia" w:ascii="宋体" w:hAnsi="宋体" w:eastAsia="宋体" w:cs="宋体"/>
          <w:color w:val="auto"/>
          <w:sz w:val="24"/>
          <w:szCs w:val="24"/>
          <w:lang w:val="en-US" w:eastAsia="zh-CN"/>
        </w:rPr>
        <w:t>公开招标</w:t>
      </w:r>
      <w:r>
        <w:rPr>
          <w:rFonts w:hint="eastAsia" w:ascii="宋体" w:hAnsi="宋体" w:eastAsia="宋体" w:cs="宋体"/>
          <w:color w:val="auto"/>
          <w:sz w:val="24"/>
          <w:szCs w:val="24"/>
        </w:rPr>
        <w:t>，确定乙方为成交供应商。依据《中华人民共和国政府采购法》、《中华人民共和国招标投标法》、《中华人民共和国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》以及</w:t>
      </w:r>
      <w:r>
        <w:rPr>
          <w:rFonts w:hint="eastAsia" w:ascii="宋体" w:hAnsi="宋体" w:eastAsia="宋体" w:cs="宋体"/>
          <w:color w:val="auto"/>
          <w:sz w:val="24"/>
          <w:szCs w:val="24"/>
          <w:lang w:val="en-US" w:eastAsia="zh-CN"/>
        </w:rPr>
        <w:t>招标文件</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中标</w:t>
      </w:r>
      <w:r>
        <w:rPr>
          <w:rFonts w:hint="eastAsia" w:ascii="宋体" w:hAnsi="宋体" w:eastAsia="宋体" w:cs="宋体"/>
          <w:color w:val="auto"/>
          <w:sz w:val="24"/>
          <w:szCs w:val="24"/>
        </w:rPr>
        <w:t>供应商</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响应文件正本和澄清表（函）、</w:t>
      </w:r>
      <w:r>
        <w:rPr>
          <w:rFonts w:hint="eastAsia" w:ascii="宋体" w:hAnsi="宋体" w:eastAsia="宋体" w:cs="宋体"/>
          <w:color w:val="auto"/>
          <w:sz w:val="24"/>
          <w:szCs w:val="24"/>
          <w:lang w:val="en-US" w:eastAsia="zh-CN"/>
        </w:rPr>
        <w:t>中标</w:t>
      </w:r>
      <w:r>
        <w:rPr>
          <w:rFonts w:hint="eastAsia" w:ascii="宋体" w:hAnsi="宋体" w:eastAsia="宋体" w:cs="宋体"/>
          <w:color w:val="auto"/>
          <w:sz w:val="24"/>
          <w:szCs w:val="24"/>
        </w:rPr>
        <w:t>通知书，经甲、乙双方协商，达成如下条款：</w:t>
      </w:r>
    </w:p>
    <w:p w14:paraId="51AEDE64">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一、合同标的物</w:t>
      </w:r>
      <w:r>
        <w:rPr>
          <w:rFonts w:hint="eastAsia" w:ascii="宋体" w:hAnsi="宋体" w:eastAsia="宋体" w:cs="宋体"/>
          <w:b/>
          <w:color w:val="auto"/>
          <w:sz w:val="24"/>
          <w:szCs w:val="24"/>
          <w:lang w:val="en-US" w:eastAsia="zh-CN"/>
        </w:rPr>
        <w:t>品</w:t>
      </w:r>
      <w:r>
        <w:rPr>
          <w:rFonts w:hint="eastAsia" w:ascii="宋体" w:hAnsi="宋体" w:eastAsia="宋体" w:cs="宋体"/>
          <w:b/>
          <w:color w:val="auto"/>
          <w:sz w:val="24"/>
          <w:szCs w:val="24"/>
        </w:rPr>
        <w:t>内容及数量</w:t>
      </w:r>
      <w:r>
        <w:rPr>
          <w:rFonts w:hint="eastAsia" w:ascii="宋体" w:hAnsi="宋体" w:eastAsia="宋体" w:cs="宋体"/>
          <w:color w:val="auto"/>
          <w:sz w:val="24"/>
          <w:szCs w:val="24"/>
        </w:rPr>
        <w:t>（以</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响应文件正本和澄清表〈函〉为准）</w:t>
      </w:r>
    </w:p>
    <w:tbl>
      <w:tblPr>
        <w:tblStyle w:val="7"/>
        <w:tblW w:w="9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985"/>
        <w:gridCol w:w="1684"/>
        <w:gridCol w:w="1016"/>
        <w:gridCol w:w="1188"/>
        <w:gridCol w:w="1200"/>
        <w:gridCol w:w="1073"/>
        <w:gridCol w:w="1060"/>
      </w:tblGrid>
      <w:tr w14:paraId="6C534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tcBorders>
              <w:top w:val="single" w:color="auto" w:sz="4" w:space="0"/>
              <w:left w:val="single" w:color="auto" w:sz="4" w:space="0"/>
              <w:bottom w:val="single" w:color="auto" w:sz="4" w:space="0"/>
              <w:right w:val="single" w:color="auto" w:sz="4" w:space="0"/>
            </w:tcBorders>
            <w:noWrap w:val="0"/>
            <w:vAlign w:val="center"/>
          </w:tcPr>
          <w:p w14:paraId="4F3C2A72">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985" w:type="dxa"/>
            <w:tcBorders>
              <w:top w:val="single" w:color="auto" w:sz="4" w:space="0"/>
              <w:left w:val="single" w:color="auto" w:sz="4" w:space="0"/>
              <w:bottom w:val="single" w:color="auto" w:sz="4" w:space="0"/>
              <w:right w:val="single" w:color="auto" w:sz="4" w:space="0"/>
            </w:tcBorders>
            <w:noWrap w:val="0"/>
            <w:vAlign w:val="center"/>
          </w:tcPr>
          <w:p w14:paraId="25E757E1">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1684" w:type="dxa"/>
            <w:tcBorders>
              <w:top w:val="single" w:color="auto" w:sz="4" w:space="0"/>
              <w:left w:val="single" w:color="auto" w:sz="4" w:space="0"/>
              <w:bottom w:val="single" w:color="auto" w:sz="4" w:space="0"/>
              <w:right w:val="single" w:color="auto" w:sz="4" w:space="0"/>
            </w:tcBorders>
            <w:noWrap w:val="0"/>
            <w:vAlign w:val="center"/>
          </w:tcPr>
          <w:p w14:paraId="27E11ADE">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规格参数</w:t>
            </w:r>
          </w:p>
        </w:tc>
        <w:tc>
          <w:tcPr>
            <w:tcW w:w="1016" w:type="dxa"/>
            <w:tcBorders>
              <w:top w:val="single" w:color="auto" w:sz="4" w:space="0"/>
              <w:left w:val="single" w:color="auto" w:sz="4" w:space="0"/>
              <w:bottom w:val="single" w:color="auto" w:sz="4" w:space="0"/>
              <w:right w:val="single" w:color="auto" w:sz="4" w:space="0"/>
            </w:tcBorders>
            <w:noWrap w:val="0"/>
            <w:vAlign w:val="center"/>
          </w:tcPr>
          <w:p w14:paraId="6D343D74">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数量</w:t>
            </w:r>
          </w:p>
        </w:tc>
        <w:tc>
          <w:tcPr>
            <w:tcW w:w="1188" w:type="dxa"/>
            <w:tcBorders>
              <w:top w:val="single" w:color="auto" w:sz="4" w:space="0"/>
              <w:left w:val="single" w:color="auto" w:sz="4" w:space="0"/>
              <w:bottom w:val="single" w:color="auto" w:sz="4" w:space="0"/>
              <w:right w:val="single" w:color="auto" w:sz="4" w:space="0"/>
            </w:tcBorders>
            <w:noWrap w:val="0"/>
            <w:vAlign w:val="center"/>
          </w:tcPr>
          <w:p w14:paraId="4A3BA4A2">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产地</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8248F8A">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3042D173">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单价</w:t>
            </w:r>
          </w:p>
        </w:tc>
        <w:tc>
          <w:tcPr>
            <w:tcW w:w="1060" w:type="dxa"/>
            <w:tcBorders>
              <w:top w:val="single" w:color="auto" w:sz="4" w:space="0"/>
              <w:left w:val="single" w:color="auto" w:sz="4" w:space="0"/>
              <w:bottom w:val="single" w:color="auto" w:sz="4" w:space="0"/>
              <w:right w:val="single" w:color="auto" w:sz="4" w:space="0"/>
            </w:tcBorders>
            <w:noWrap w:val="0"/>
            <w:vAlign w:val="center"/>
          </w:tcPr>
          <w:p w14:paraId="67004544">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备注</w:t>
            </w:r>
          </w:p>
        </w:tc>
      </w:tr>
      <w:tr w14:paraId="0A7D7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tcBorders>
              <w:left w:val="single" w:color="auto" w:sz="4" w:space="0"/>
              <w:bottom w:val="single" w:color="auto" w:sz="4" w:space="0"/>
              <w:right w:val="single" w:color="auto" w:sz="4" w:space="0"/>
            </w:tcBorders>
            <w:noWrap w:val="0"/>
            <w:vAlign w:val="center"/>
          </w:tcPr>
          <w:p w14:paraId="1A4C83B9">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p>
        </w:tc>
        <w:tc>
          <w:tcPr>
            <w:tcW w:w="1985" w:type="dxa"/>
            <w:tcBorders>
              <w:left w:val="single" w:color="auto" w:sz="4" w:space="0"/>
              <w:bottom w:val="single" w:color="auto" w:sz="4" w:space="0"/>
              <w:right w:val="single" w:color="auto" w:sz="4" w:space="0"/>
            </w:tcBorders>
            <w:noWrap w:val="0"/>
            <w:vAlign w:val="center"/>
          </w:tcPr>
          <w:p w14:paraId="7D3F3BD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lang w:val="en-US" w:eastAsia="zh-CN" w:bidi="ar-SA"/>
              </w:rPr>
            </w:pPr>
          </w:p>
        </w:tc>
        <w:tc>
          <w:tcPr>
            <w:tcW w:w="1684" w:type="dxa"/>
            <w:tcBorders>
              <w:top w:val="single" w:color="auto" w:sz="4" w:space="0"/>
              <w:left w:val="single" w:color="auto" w:sz="4" w:space="0"/>
              <w:bottom w:val="single" w:color="auto" w:sz="4" w:space="0"/>
              <w:right w:val="single" w:color="auto" w:sz="4" w:space="0"/>
            </w:tcBorders>
            <w:noWrap w:val="0"/>
            <w:vAlign w:val="center"/>
          </w:tcPr>
          <w:p w14:paraId="53EC9E8A">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lang w:val="en-US" w:eastAsia="zh-CN" w:bidi="ar-SA"/>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FA220E8">
            <w:pPr>
              <w:pStyle w:val="12"/>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Hans"/>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14:paraId="53D52E6A">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lang w:val="en-US" w:eastAsia="zh-CN" w:bidi="ar-SA"/>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76ABDE5C">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rPr>
            </w:pPr>
          </w:p>
        </w:tc>
        <w:tc>
          <w:tcPr>
            <w:tcW w:w="1073" w:type="dxa"/>
            <w:tcBorders>
              <w:top w:val="single" w:color="auto" w:sz="4" w:space="0"/>
              <w:left w:val="single" w:color="auto" w:sz="4" w:space="0"/>
              <w:bottom w:val="single" w:color="auto" w:sz="4" w:space="0"/>
              <w:right w:val="single" w:color="auto" w:sz="4" w:space="0"/>
            </w:tcBorders>
            <w:noWrap w:val="0"/>
            <w:vAlign w:val="center"/>
          </w:tcPr>
          <w:p w14:paraId="6245017C">
            <w:pPr>
              <w:pStyle w:val="12"/>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5F52FBA6">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p>
        </w:tc>
      </w:tr>
      <w:tr w14:paraId="5165E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tcBorders>
              <w:top w:val="single" w:color="auto" w:sz="4" w:space="0"/>
              <w:left w:val="single" w:color="auto" w:sz="4" w:space="0"/>
              <w:bottom w:val="single" w:color="auto" w:sz="4" w:space="0"/>
              <w:right w:val="single" w:color="auto" w:sz="4" w:space="0"/>
            </w:tcBorders>
            <w:noWrap w:val="0"/>
            <w:vAlign w:val="center"/>
          </w:tcPr>
          <w:p w14:paraId="248FF5C9">
            <w:pPr>
              <w:keepNext w:val="0"/>
              <w:keepLines w:val="0"/>
              <w:pageBreakBefore w:val="0"/>
              <w:tabs>
                <w:tab w:val="left" w:pos="480"/>
              </w:tabs>
              <w:kinsoku/>
              <w:wordWrap/>
              <w:overflowPunct/>
              <w:topLinePunct w:val="0"/>
              <w:bidi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tc>
        <w:tc>
          <w:tcPr>
            <w:tcW w:w="8146" w:type="dxa"/>
            <w:gridSpan w:val="6"/>
            <w:tcBorders>
              <w:top w:val="single" w:color="auto" w:sz="4" w:space="0"/>
              <w:left w:val="single" w:color="auto" w:sz="4" w:space="0"/>
              <w:bottom w:val="single" w:color="auto" w:sz="4" w:space="0"/>
              <w:right w:val="single" w:color="auto" w:sz="4" w:space="0"/>
            </w:tcBorders>
            <w:noWrap w:val="0"/>
            <w:vAlign w:val="center"/>
          </w:tcPr>
          <w:p w14:paraId="63592AA8">
            <w:pPr>
              <w:keepNext w:val="0"/>
              <w:keepLines w:val="0"/>
              <w:pageBreakBefore w:val="0"/>
              <w:tabs>
                <w:tab w:val="left" w:pos="480"/>
                <w:tab w:val="left" w:pos="3431"/>
              </w:tabs>
              <w:kinsoku/>
              <w:wordWrap/>
              <w:overflowPunct/>
              <w:topLinePunct w:val="0"/>
              <w:bidi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附技术参数说明</w:t>
            </w:r>
            <w:r>
              <w:rPr>
                <w:rFonts w:hint="eastAsia" w:ascii="宋体" w:hAnsi="宋体" w:eastAsia="宋体" w:cs="宋体"/>
                <w:color w:val="auto"/>
                <w:sz w:val="24"/>
                <w:szCs w:val="24"/>
                <w:highlight w:val="none"/>
                <w:lang w:val="en-US" w:eastAsia="zh-CN"/>
              </w:rPr>
              <w:t xml:space="preserve"> </w:t>
            </w:r>
          </w:p>
        </w:tc>
        <w:tc>
          <w:tcPr>
            <w:tcW w:w="1060" w:type="dxa"/>
            <w:tcBorders>
              <w:top w:val="single" w:color="auto" w:sz="4" w:space="0"/>
              <w:left w:val="single" w:color="auto" w:sz="4" w:space="0"/>
              <w:bottom w:val="single" w:color="auto" w:sz="4" w:space="0"/>
              <w:right w:val="single" w:color="auto" w:sz="4" w:space="0"/>
            </w:tcBorders>
            <w:noWrap w:val="0"/>
            <w:vAlign w:val="center"/>
          </w:tcPr>
          <w:p w14:paraId="2AC3196B">
            <w:pPr>
              <w:keepNext w:val="0"/>
              <w:keepLines w:val="0"/>
              <w:pageBreakBefore w:val="0"/>
              <w:tabs>
                <w:tab w:val="left" w:pos="480"/>
                <w:tab w:val="left" w:pos="3431"/>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p>
        </w:tc>
      </w:tr>
    </w:tbl>
    <w:p w14:paraId="59143811">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二、合同价款</w:t>
      </w:r>
    </w:p>
    <w:p w14:paraId="1CBF5DB4">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（一）合同总价款为人民币（大写）元整（￥</w:t>
      </w:r>
      <w:r>
        <w:rPr>
          <w:rFonts w:hint="eastAsia" w:ascii="宋体" w:hAnsi="宋体" w:eastAsia="宋体" w:cs="宋体"/>
          <w:color w:val="auto"/>
          <w:sz w:val="24"/>
          <w:szCs w:val="24"/>
          <w:lang w:val="en-US" w:eastAsia="zh-CN"/>
        </w:rPr>
        <w:t>.00</w:t>
      </w:r>
      <w:r>
        <w:rPr>
          <w:rFonts w:hint="eastAsia" w:ascii="宋体" w:hAnsi="宋体" w:eastAsia="宋体" w:cs="宋体"/>
          <w:color w:val="auto"/>
          <w:sz w:val="24"/>
          <w:szCs w:val="24"/>
        </w:rPr>
        <w:t>元）。</w:t>
      </w:r>
    </w:p>
    <w:p w14:paraId="0E38667D">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（二）合同总价包括：货物费、运输费（含保险费）、安装调试费、检测验收费及其它费用。</w:t>
      </w:r>
    </w:p>
    <w:p w14:paraId="7D06BA63">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（三）合同总价一次性包死，不受市场价格变化因素的影响。</w:t>
      </w:r>
    </w:p>
    <w:p w14:paraId="53EB6A62">
      <w:pPr>
        <w:keepNext w:val="0"/>
        <w:keepLines w:val="0"/>
        <w:pageBreakBefore w:val="0"/>
        <w:tabs>
          <w:tab w:val="left" w:pos="480"/>
        </w:tabs>
        <w:kinsoku/>
        <w:wordWrap/>
        <w:overflowPunct/>
        <w:topLinePunct w:val="0"/>
        <w:bidi w:val="0"/>
        <w:adjustRightInd/>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三、款项结算</w:t>
      </w:r>
    </w:p>
    <w:p w14:paraId="62A01866">
      <w:pPr>
        <w:keepNext w:val="0"/>
        <w:keepLines w:val="0"/>
        <w:pageBreakBefore w:val="0"/>
        <w:widowControl/>
        <w:kinsoku/>
        <w:wordWrap/>
        <w:overflowPunct/>
        <w:topLinePunct w:val="0"/>
        <w:autoSpaceDE w:val="0"/>
        <w:autoSpaceDN w:val="0"/>
        <w:bidi w:val="0"/>
        <w:adjustRightInd/>
        <w:snapToGrid/>
        <w:spacing w:line="360" w:lineRule="auto"/>
        <w:ind w:right="0" w:firstLine="436" w:firstLineChars="200"/>
        <w:jc w:val="both"/>
        <w:textAlignment w:val="bottom"/>
        <w:rPr>
          <w:rFonts w:hint="eastAsia" w:ascii="宋体" w:hAnsi="宋体" w:eastAsia="宋体" w:cs="宋体"/>
          <w:b w:val="0"/>
          <w:bCs w:val="0"/>
          <w:color w:val="auto"/>
          <w:sz w:val="24"/>
          <w:szCs w:val="24"/>
          <w:u w:val="none"/>
          <w:lang w:eastAsia="zh-CN"/>
        </w:rPr>
      </w:pPr>
      <w:r>
        <w:rPr>
          <w:rFonts w:hint="eastAsia" w:ascii="宋体" w:hAnsi="宋体" w:eastAsia="宋体" w:cs="宋体"/>
          <w:b w:val="0"/>
          <w:bCs w:val="0"/>
          <w:color w:val="auto"/>
          <w:spacing w:val="-11"/>
          <w:sz w:val="24"/>
          <w:szCs w:val="24"/>
          <w:u w:val="none"/>
        </w:rPr>
        <w:t>（一）所有货物到达甲方指定地点，安装、调试完毕并验收合格后，接到甲方通知、乙方出具发票10个工作日内支付合同总价款的90％</w:t>
      </w:r>
      <w:r>
        <w:rPr>
          <w:rFonts w:hint="eastAsia" w:ascii="宋体" w:hAnsi="宋体" w:eastAsia="宋体" w:cs="宋体"/>
          <w:b w:val="0"/>
          <w:bCs w:val="0"/>
          <w:color w:val="auto"/>
          <w:spacing w:val="-11"/>
          <w:sz w:val="24"/>
          <w:szCs w:val="24"/>
          <w:u w:val="none"/>
          <w:lang w:eastAsia="zh-CN"/>
        </w:rPr>
        <w:t>，</w:t>
      </w:r>
      <w:r>
        <w:rPr>
          <w:rFonts w:hint="eastAsia" w:ascii="宋体" w:hAnsi="宋体" w:eastAsia="宋体" w:cs="宋体"/>
          <w:b w:val="0"/>
          <w:bCs w:val="0"/>
          <w:color w:val="auto"/>
          <w:spacing w:val="-11"/>
          <w:sz w:val="24"/>
          <w:szCs w:val="24"/>
          <w:u w:val="none"/>
        </w:rPr>
        <w:t>即人民币（大写）</w:t>
      </w:r>
      <w:r>
        <w:rPr>
          <w:rFonts w:hint="eastAsia" w:ascii="宋体" w:hAnsi="宋体" w:eastAsia="宋体" w:cs="宋体"/>
          <w:b w:val="0"/>
          <w:bCs w:val="0"/>
          <w:color w:val="auto"/>
          <w:sz w:val="24"/>
          <w:szCs w:val="24"/>
          <w:u w:val="none"/>
          <w:lang w:val="en-US" w:eastAsia="zh-CN"/>
        </w:rPr>
        <w:t>：</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zh-CN"/>
        </w:rPr>
        <w:t xml:space="preserve"> </w:t>
      </w:r>
      <w:r>
        <w:rPr>
          <w:rFonts w:hint="eastAsia" w:ascii="宋体" w:hAnsi="宋体" w:eastAsia="宋体" w:cs="宋体"/>
          <w:b w:val="0"/>
          <w:bCs w:val="0"/>
          <w:color w:val="auto"/>
          <w:sz w:val="24"/>
          <w:szCs w:val="24"/>
          <w:u w:val="none"/>
        </w:rPr>
        <w:t>元整（￥</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z w:val="24"/>
          <w:szCs w:val="24"/>
          <w:u w:val="none"/>
          <w:lang w:val="en-US" w:eastAsia="zh-CN"/>
        </w:rPr>
        <w:t>.00元</w:t>
      </w:r>
      <w:r>
        <w:rPr>
          <w:rFonts w:hint="eastAsia" w:ascii="宋体" w:hAnsi="宋体" w:eastAsia="宋体" w:cs="宋体"/>
          <w:b w:val="0"/>
          <w:bCs w:val="0"/>
          <w:color w:val="auto"/>
          <w:sz w:val="24"/>
          <w:szCs w:val="24"/>
          <w:u w:val="none"/>
        </w:rPr>
        <w:t>）。</w:t>
      </w:r>
      <w:r>
        <w:rPr>
          <w:rFonts w:hint="eastAsia" w:ascii="宋体" w:hAnsi="宋体" w:eastAsia="宋体" w:cs="宋体"/>
          <w:b w:val="0"/>
          <w:bCs w:val="0"/>
          <w:color w:val="auto"/>
          <w:sz w:val="24"/>
          <w:szCs w:val="24"/>
          <w:u w:val="none"/>
          <w:lang w:val="en-US" w:eastAsia="zh-CN"/>
        </w:rPr>
        <w:t>剩余</w:t>
      </w:r>
      <w:r>
        <w:rPr>
          <w:rFonts w:hint="eastAsia" w:ascii="宋体" w:hAnsi="宋体" w:eastAsia="宋体" w:cs="宋体"/>
          <w:b w:val="0"/>
          <w:bCs w:val="0"/>
          <w:color w:val="auto"/>
          <w:sz w:val="24"/>
          <w:szCs w:val="24"/>
          <w:u w:val="none"/>
        </w:rPr>
        <w:t>10%</w:t>
      </w:r>
      <w:r>
        <w:rPr>
          <w:rFonts w:hint="eastAsia" w:ascii="宋体" w:hAnsi="宋体" w:eastAsia="宋体" w:cs="宋体"/>
          <w:b w:val="0"/>
          <w:bCs w:val="0"/>
          <w:color w:val="auto"/>
          <w:sz w:val="24"/>
          <w:szCs w:val="24"/>
          <w:u w:val="none"/>
          <w:lang w:val="zh-CN"/>
        </w:rPr>
        <w:t>满一年后，</w:t>
      </w:r>
      <w:r>
        <w:rPr>
          <w:rFonts w:hint="eastAsia" w:ascii="宋体" w:hAnsi="宋体" w:eastAsia="宋体" w:cs="宋体"/>
          <w:b w:val="0"/>
          <w:bCs w:val="0"/>
          <w:color w:val="auto"/>
          <w:sz w:val="24"/>
          <w:szCs w:val="24"/>
          <w:u w:val="none"/>
          <w:lang w:val="en-US" w:eastAsia="zh-CN"/>
        </w:rPr>
        <w:t>收到发票10个工作日</w:t>
      </w:r>
      <w:r>
        <w:rPr>
          <w:rFonts w:hint="eastAsia" w:ascii="宋体" w:hAnsi="宋体" w:eastAsia="宋体" w:cs="宋体"/>
          <w:b w:val="0"/>
          <w:bCs w:val="0"/>
          <w:color w:val="auto"/>
          <w:sz w:val="24"/>
          <w:szCs w:val="24"/>
          <w:u w:val="none"/>
          <w:lang w:val="zh-CN"/>
        </w:rPr>
        <w:t>内支付4%货款</w:t>
      </w:r>
      <w:r>
        <w:rPr>
          <w:rFonts w:hint="eastAsia" w:ascii="宋体" w:hAnsi="宋体" w:eastAsia="宋体" w:cs="宋体"/>
          <w:b w:val="0"/>
          <w:bCs w:val="0"/>
          <w:color w:val="auto"/>
          <w:sz w:val="24"/>
          <w:szCs w:val="24"/>
          <w:u w:val="none"/>
        </w:rPr>
        <w:t>即人民币（大写）</w:t>
      </w:r>
      <w:r>
        <w:rPr>
          <w:rFonts w:hint="eastAsia" w:ascii="宋体" w:hAnsi="宋体" w:eastAsia="宋体" w:cs="宋体"/>
          <w:b w:val="0"/>
          <w:bCs w:val="0"/>
          <w:color w:val="auto"/>
          <w:sz w:val="24"/>
          <w:szCs w:val="24"/>
          <w:u w:val="none"/>
          <w:lang w:val="en-US" w:eastAsia="zh-CN"/>
        </w:rPr>
        <w:t>：</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zh-CN"/>
        </w:rPr>
        <w:t xml:space="preserve"> </w:t>
      </w:r>
      <w:r>
        <w:rPr>
          <w:rFonts w:hint="eastAsia" w:ascii="宋体" w:hAnsi="宋体" w:eastAsia="宋体" w:cs="宋体"/>
          <w:b w:val="0"/>
          <w:bCs w:val="0"/>
          <w:color w:val="auto"/>
          <w:sz w:val="24"/>
          <w:szCs w:val="24"/>
          <w:u w:val="none"/>
        </w:rPr>
        <w:t>元整（￥</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z w:val="24"/>
          <w:szCs w:val="24"/>
          <w:u w:val="none"/>
        </w:rPr>
        <w:t>元）</w:t>
      </w:r>
      <w:r>
        <w:rPr>
          <w:rFonts w:hint="eastAsia" w:ascii="宋体" w:hAnsi="宋体" w:eastAsia="宋体" w:cs="宋体"/>
          <w:b w:val="0"/>
          <w:bCs w:val="0"/>
          <w:color w:val="auto"/>
          <w:sz w:val="24"/>
          <w:szCs w:val="24"/>
          <w:u w:val="none"/>
          <w:lang w:val="zh-CN"/>
        </w:rPr>
        <w:t>，满两年后，</w:t>
      </w:r>
      <w:r>
        <w:rPr>
          <w:rFonts w:hint="eastAsia" w:ascii="宋体" w:hAnsi="宋体" w:eastAsia="宋体" w:cs="宋体"/>
          <w:b w:val="0"/>
          <w:bCs w:val="0"/>
          <w:color w:val="auto"/>
          <w:sz w:val="24"/>
          <w:szCs w:val="24"/>
          <w:u w:val="none"/>
          <w:lang w:val="en-US" w:eastAsia="zh-CN"/>
        </w:rPr>
        <w:t>收到发票10个工作日内</w:t>
      </w:r>
      <w:r>
        <w:rPr>
          <w:rFonts w:hint="eastAsia" w:ascii="宋体" w:hAnsi="宋体" w:eastAsia="宋体" w:cs="宋体"/>
          <w:b w:val="0"/>
          <w:bCs w:val="0"/>
          <w:color w:val="auto"/>
          <w:sz w:val="24"/>
          <w:szCs w:val="24"/>
          <w:u w:val="none"/>
          <w:lang w:val="zh-CN"/>
        </w:rPr>
        <w:t>支付3%货款，</w:t>
      </w:r>
      <w:r>
        <w:rPr>
          <w:rFonts w:hint="eastAsia" w:ascii="宋体" w:hAnsi="宋体" w:eastAsia="宋体" w:cs="宋体"/>
          <w:b w:val="0"/>
          <w:bCs w:val="0"/>
          <w:color w:val="auto"/>
          <w:sz w:val="24"/>
          <w:szCs w:val="24"/>
          <w:u w:val="none"/>
        </w:rPr>
        <w:t>即人民币（大写）</w:t>
      </w:r>
      <w:r>
        <w:rPr>
          <w:rFonts w:hint="eastAsia" w:ascii="宋体" w:hAnsi="宋体" w:eastAsia="宋体" w:cs="宋体"/>
          <w:b w:val="0"/>
          <w:bCs w:val="0"/>
          <w:color w:val="auto"/>
          <w:sz w:val="24"/>
          <w:szCs w:val="24"/>
          <w:u w:val="none"/>
          <w:lang w:val="en-US" w:eastAsia="zh-CN"/>
        </w:rPr>
        <w:t>：</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zh-CN"/>
        </w:rPr>
        <w:t xml:space="preserve"> </w:t>
      </w:r>
      <w:r>
        <w:rPr>
          <w:rFonts w:hint="eastAsia" w:ascii="宋体" w:hAnsi="宋体" w:eastAsia="宋体" w:cs="宋体"/>
          <w:b w:val="0"/>
          <w:bCs w:val="0"/>
          <w:color w:val="auto"/>
          <w:sz w:val="24"/>
          <w:szCs w:val="24"/>
          <w:u w:val="none"/>
        </w:rPr>
        <w:t>元整（￥</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z w:val="24"/>
          <w:szCs w:val="24"/>
          <w:u w:val="none"/>
        </w:rPr>
        <w:t>元）。</w:t>
      </w:r>
      <w:r>
        <w:rPr>
          <w:rFonts w:hint="eastAsia" w:ascii="宋体" w:hAnsi="宋体" w:eastAsia="宋体" w:cs="宋体"/>
          <w:b w:val="0"/>
          <w:bCs w:val="0"/>
          <w:color w:val="auto"/>
          <w:sz w:val="24"/>
          <w:szCs w:val="24"/>
          <w:u w:val="none"/>
          <w:lang w:val="zh-CN"/>
        </w:rPr>
        <w:t>满3年后，</w:t>
      </w:r>
      <w:r>
        <w:rPr>
          <w:rFonts w:hint="eastAsia" w:ascii="宋体" w:hAnsi="宋体" w:eastAsia="宋体" w:cs="宋体"/>
          <w:b w:val="0"/>
          <w:bCs w:val="0"/>
          <w:color w:val="auto"/>
          <w:sz w:val="24"/>
          <w:szCs w:val="24"/>
          <w:u w:val="none"/>
          <w:lang w:val="en-US" w:eastAsia="zh-CN"/>
        </w:rPr>
        <w:t>收到发票10个工作日内</w:t>
      </w:r>
      <w:r>
        <w:rPr>
          <w:rFonts w:hint="eastAsia" w:ascii="宋体" w:hAnsi="宋体" w:eastAsia="宋体" w:cs="宋体"/>
          <w:b w:val="0"/>
          <w:bCs w:val="0"/>
          <w:color w:val="auto"/>
          <w:sz w:val="24"/>
          <w:szCs w:val="24"/>
          <w:u w:val="none"/>
          <w:lang w:val="zh-CN"/>
        </w:rPr>
        <w:t>支付3%货款，</w:t>
      </w:r>
      <w:r>
        <w:rPr>
          <w:rFonts w:hint="eastAsia" w:ascii="宋体" w:hAnsi="宋体" w:eastAsia="宋体" w:cs="宋体"/>
          <w:b w:val="0"/>
          <w:bCs w:val="0"/>
          <w:color w:val="auto"/>
          <w:sz w:val="24"/>
          <w:szCs w:val="24"/>
          <w:u w:val="none"/>
        </w:rPr>
        <w:t>即人民币（大写）</w:t>
      </w:r>
      <w:r>
        <w:rPr>
          <w:rFonts w:hint="eastAsia" w:ascii="宋体" w:hAnsi="宋体" w:eastAsia="宋体" w:cs="宋体"/>
          <w:b w:val="0"/>
          <w:bCs w:val="0"/>
          <w:color w:val="auto"/>
          <w:sz w:val="24"/>
          <w:szCs w:val="24"/>
          <w:u w:val="none"/>
          <w:lang w:val="en-US" w:eastAsia="zh-CN"/>
        </w:rPr>
        <w:t>：</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zh-CN"/>
        </w:rPr>
        <w:t xml:space="preserve"> </w:t>
      </w:r>
      <w:r>
        <w:rPr>
          <w:rFonts w:hint="eastAsia" w:ascii="宋体" w:hAnsi="宋体" w:eastAsia="宋体" w:cs="宋体"/>
          <w:b w:val="0"/>
          <w:bCs w:val="0"/>
          <w:color w:val="auto"/>
          <w:sz w:val="24"/>
          <w:szCs w:val="24"/>
          <w:u w:val="none"/>
        </w:rPr>
        <w:t>元整（￥</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z w:val="24"/>
          <w:szCs w:val="24"/>
          <w:u w:val="none"/>
        </w:rPr>
        <w:t>元）</w:t>
      </w:r>
      <w:r>
        <w:rPr>
          <w:rFonts w:hint="eastAsia" w:ascii="宋体" w:hAnsi="宋体" w:eastAsia="宋体" w:cs="宋体"/>
          <w:b w:val="0"/>
          <w:bCs w:val="0"/>
          <w:color w:val="auto"/>
          <w:sz w:val="24"/>
          <w:szCs w:val="24"/>
          <w:u w:val="none"/>
          <w:lang w:eastAsia="zh-CN"/>
        </w:rPr>
        <w:t>。</w:t>
      </w:r>
    </w:p>
    <w:p w14:paraId="0B729FBE">
      <w:pPr>
        <w:keepNext w:val="0"/>
        <w:keepLines w:val="0"/>
        <w:pageBreakBefore w:val="0"/>
        <w:widowControl/>
        <w:kinsoku/>
        <w:wordWrap/>
        <w:overflowPunct/>
        <w:topLinePunct w:val="0"/>
        <w:autoSpaceDE w:val="0"/>
        <w:autoSpaceDN w:val="0"/>
        <w:bidi w:val="0"/>
        <w:adjustRightInd/>
        <w:snapToGrid/>
        <w:spacing w:line="360" w:lineRule="auto"/>
        <w:ind w:right="0" w:firstLine="480" w:firstLineChars="200"/>
        <w:jc w:val="both"/>
        <w:textAlignment w:val="bottom"/>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w:t>
      </w:r>
      <w:r>
        <w:rPr>
          <w:rFonts w:hint="eastAsia" w:ascii="宋体" w:hAnsi="宋体" w:eastAsia="宋体" w:cs="宋体"/>
          <w:b w:val="0"/>
          <w:bCs w:val="0"/>
          <w:color w:val="auto"/>
          <w:sz w:val="24"/>
          <w:szCs w:val="24"/>
          <w:u w:val="none"/>
          <w:lang w:val="en-US" w:eastAsia="zh-CN"/>
        </w:rPr>
        <w:t>二</w:t>
      </w:r>
      <w:r>
        <w:rPr>
          <w:rFonts w:hint="eastAsia" w:ascii="宋体" w:hAnsi="宋体" w:eastAsia="宋体" w:cs="宋体"/>
          <w:b w:val="0"/>
          <w:bCs w:val="0"/>
          <w:color w:val="auto"/>
          <w:sz w:val="24"/>
          <w:szCs w:val="24"/>
          <w:u w:val="none"/>
        </w:rPr>
        <w:t>）</w:t>
      </w:r>
      <w:r>
        <w:rPr>
          <w:rFonts w:hint="eastAsia" w:ascii="宋体" w:hAnsi="宋体" w:eastAsia="宋体" w:cs="宋体"/>
          <w:b w:val="0"/>
          <w:bCs w:val="0"/>
          <w:color w:val="auto"/>
          <w:sz w:val="24"/>
          <w:szCs w:val="24"/>
          <w:u w:val="none"/>
          <w:lang w:val="en-US" w:eastAsia="zh-CN"/>
        </w:rPr>
        <w:t>付</w:t>
      </w:r>
      <w:r>
        <w:rPr>
          <w:rFonts w:hint="eastAsia" w:ascii="宋体" w:hAnsi="宋体" w:eastAsia="宋体" w:cs="宋体"/>
          <w:b w:val="0"/>
          <w:bCs w:val="0"/>
          <w:color w:val="auto"/>
          <w:sz w:val="24"/>
          <w:szCs w:val="24"/>
          <w:u w:val="none"/>
          <w:lang w:eastAsia="zh-CN"/>
        </w:rPr>
        <w:t>款</w:t>
      </w:r>
      <w:r>
        <w:rPr>
          <w:rFonts w:hint="eastAsia" w:ascii="宋体" w:hAnsi="宋体" w:eastAsia="宋体" w:cs="宋体"/>
          <w:b w:val="0"/>
          <w:bCs w:val="0"/>
          <w:color w:val="auto"/>
          <w:sz w:val="24"/>
          <w:szCs w:val="24"/>
          <w:u w:val="none"/>
        </w:rPr>
        <w:t>方式：</w:t>
      </w:r>
    </w:p>
    <w:p w14:paraId="0FCD2FC3">
      <w:pPr>
        <w:keepNext w:val="0"/>
        <w:keepLines w:val="0"/>
        <w:pageBreakBefore w:val="0"/>
        <w:kinsoku/>
        <w:wordWrap/>
        <w:overflowPunct/>
        <w:topLinePunct w:val="0"/>
        <w:bidi w:val="0"/>
        <w:adjustRightInd/>
        <w:snapToGrid/>
        <w:spacing w:line="360" w:lineRule="auto"/>
        <w:ind w:firstLine="480" w:firstLineChars="200"/>
        <w:jc w:val="both"/>
        <w:rPr>
          <w:rFonts w:hint="eastAsia" w:ascii="宋体" w:hAnsi="宋体" w:eastAsia="宋体" w:cs="宋体"/>
          <w:b w:val="0"/>
          <w:bCs w:val="0"/>
          <w:color w:val="auto"/>
          <w:sz w:val="24"/>
          <w:szCs w:val="24"/>
          <w:u w:val="none"/>
          <w:lang w:val="zh-CN"/>
        </w:rPr>
      </w:pPr>
      <w:r>
        <w:rPr>
          <w:rFonts w:hint="eastAsia" w:ascii="宋体" w:hAnsi="宋体" w:eastAsia="宋体" w:cs="宋体"/>
          <w:b w:val="0"/>
          <w:bCs w:val="0"/>
          <w:color w:val="auto"/>
          <w:sz w:val="24"/>
          <w:szCs w:val="24"/>
          <w:u w:val="none"/>
          <w:lang w:val="zh-CN"/>
        </w:rPr>
        <w:t>通过银行转账方式将款项转入乙方银行账户。乙方银行账户信息如下：</w:t>
      </w:r>
    </w:p>
    <w:p w14:paraId="06163CBE">
      <w:pPr>
        <w:keepNext w:val="0"/>
        <w:keepLines w:val="0"/>
        <w:pageBreakBefore w:val="0"/>
        <w:kinsoku/>
        <w:wordWrap/>
        <w:overflowPunct/>
        <w:topLinePunct w:val="0"/>
        <w:bidi w:val="0"/>
        <w:adjustRightInd/>
        <w:snapToGrid/>
        <w:spacing w:line="360" w:lineRule="auto"/>
        <w:ind w:firstLine="480" w:firstLineChars="200"/>
        <w:jc w:val="both"/>
        <w:rPr>
          <w:rFonts w:hint="eastAsia" w:ascii="宋体" w:hAnsi="宋体" w:eastAsia="宋体" w:cs="宋体"/>
          <w:b w:val="0"/>
          <w:bCs w:val="0"/>
          <w:color w:val="auto"/>
          <w:sz w:val="24"/>
          <w:szCs w:val="24"/>
          <w:u w:val="none"/>
          <w:lang w:val="zh-CN"/>
        </w:rPr>
      </w:pPr>
      <w:r>
        <w:rPr>
          <w:rFonts w:hint="eastAsia" w:ascii="宋体" w:hAnsi="宋体" w:eastAsia="宋体" w:cs="宋体"/>
          <w:b w:val="0"/>
          <w:bCs w:val="0"/>
          <w:color w:val="auto"/>
          <w:sz w:val="24"/>
          <w:szCs w:val="24"/>
          <w:u w:val="none"/>
          <w:lang w:val="zh-CN"/>
        </w:rPr>
        <w:t>账户全称：</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zh-CN"/>
        </w:rPr>
        <w:t xml:space="preserve"> </w:t>
      </w:r>
    </w:p>
    <w:p w14:paraId="2F6EFD5E">
      <w:pPr>
        <w:keepNext w:val="0"/>
        <w:keepLines w:val="0"/>
        <w:pageBreakBefore w:val="0"/>
        <w:tabs>
          <w:tab w:val="left" w:pos="630"/>
        </w:tabs>
        <w:kinsoku/>
        <w:wordWrap/>
        <w:overflowPunct/>
        <w:topLinePunct w:val="0"/>
        <w:bidi w:val="0"/>
        <w:adjustRightInd/>
        <w:snapToGrid/>
        <w:spacing w:line="360" w:lineRule="auto"/>
        <w:ind w:firstLine="480" w:firstLineChars="200"/>
        <w:jc w:val="both"/>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zh-CN"/>
        </w:rPr>
        <w:t>账    号：</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zh-CN"/>
        </w:rPr>
        <w:t xml:space="preserve"> </w:t>
      </w:r>
      <w:r>
        <w:rPr>
          <w:rFonts w:hint="eastAsia" w:ascii="宋体" w:hAnsi="宋体" w:eastAsia="宋体" w:cs="宋体"/>
          <w:b w:val="0"/>
          <w:bCs w:val="0"/>
          <w:color w:val="auto"/>
          <w:sz w:val="24"/>
          <w:szCs w:val="24"/>
          <w:u w:val="none"/>
          <w:lang w:val="en-US" w:eastAsia="zh-CN"/>
        </w:rPr>
        <w:t xml:space="preserve"> </w:t>
      </w:r>
    </w:p>
    <w:p w14:paraId="6E097CD6">
      <w:pPr>
        <w:keepNext w:val="0"/>
        <w:keepLines w:val="0"/>
        <w:pageBreakBefore w:val="0"/>
        <w:kinsoku/>
        <w:wordWrap/>
        <w:overflowPunct/>
        <w:topLinePunct w:val="0"/>
        <w:bidi w:val="0"/>
        <w:adjustRightInd/>
        <w:snapToGrid/>
        <w:spacing w:line="360" w:lineRule="auto"/>
        <w:ind w:firstLine="480" w:firstLineChars="200"/>
        <w:jc w:val="both"/>
        <w:rPr>
          <w:rFonts w:hint="eastAsia" w:ascii="宋体" w:hAnsi="宋体" w:eastAsia="宋体" w:cs="宋体"/>
          <w:b w:val="0"/>
          <w:bCs w:val="0"/>
          <w:color w:val="auto"/>
          <w:sz w:val="24"/>
          <w:szCs w:val="24"/>
          <w:u w:val="none"/>
          <w:lang w:val="zh-CN"/>
        </w:rPr>
      </w:pPr>
      <w:r>
        <w:rPr>
          <w:rFonts w:hint="eastAsia" w:ascii="宋体" w:hAnsi="宋体" w:eastAsia="宋体" w:cs="宋体"/>
          <w:b w:val="0"/>
          <w:bCs w:val="0"/>
          <w:color w:val="auto"/>
          <w:sz w:val="24"/>
          <w:szCs w:val="24"/>
          <w:u w:val="none"/>
          <w:lang w:val="zh-CN"/>
        </w:rPr>
        <w:t>开 户 行：</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zh-CN"/>
        </w:rPr>
        <w:t xml:space="preserve"> </w:t>
      </w:r>
    </w:p>
    <w:p w14:paraId="6A7EFD64">
      <w:pPr>
        <w:keepNext w:val="0"/>
        <w:keepLines w:val="0"/>
        <w:pageBreakBefore w:val="0"/>
        <w:tabs>
          <w:tab w:val="left" w:pos="630"/>
        </w:tabs>
        <w:kinsoku/>
        <w:wordWrap/>
        <w:overflowPunct/>
        <w:topLinePunct w:val="0"/>
        <w:bidi w:val="0"/>
        <w:adjustRightInd/>
        <w:snapToGrid/>
        <w:spacing w:line="360" w:lineRule="auto"/>
        <w:ind w:firstLine="480" w:firstLineChars="200"/>
        <w:jc w:val="both"/>
        <w:rPr>
          <w:rFonts w:hint="eastAsia" w:ascii="宋体" w:hAnsi="宋体" w:eastAsia="宋体" w:cs="宋体"/>
          <w:b w:val="0"/>
          <w:bCs w:val="0"/>
          <w:color w:val="auto"/>
          <w:sz w:val="24"/>
          <w:szCs w:val="24"/>
          <w:u w:val="none"/>
          <w:lang w:val="zh-CN"/>
        </w:rPr>
      </w:pPr>
      <w:r>
        <w:rPr>
          <w:rFonts w:hint="eastAsia" w:ascii="宋体" w:hAnsi="宋体" w:eastAsia="宋体" w:cs="宋体"/>
          <w:b w:val="0"/>
          <w:bCs w:val="0"/>
          <w:color w:val="auto"/>
          <w:sz w:val="24"/>
          <w:szCs w:val="24"/>
          <w:u w:val="none"/>
          <w:lang w:val="zh-CN"/>
        </w:rPr>
        <w:t>甲方仅认可上述指定账户并向该账户付款。否则甲方有权拒绝向指定账户之外的任何账户付款，并且由此导致的付款延迟责任由乙方承担。</w:t>
      </w:r>
    </w:p>
    <w:p w14:paraId="1D79E92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乙</w:t>
      </w:r>
      <w:r>
        <w:rPr>
          <w:rFonts w:hint="eastAsia" w:ascii="宋体" w:hAnsi="宋体" w:eastAsia="宋体" w:cs="宋体"/>
          <w:color w:val="auto"/>
          <w:sz w:val="24"/>
          <w:szCs w:val="24"/>
        </w:rPr>
        <w:t>方要如实开具发票，不得变更开票内容，乙方开具发票出现税务争议时，乙方需承担税款、滞纳金、罚款等赔偿责任以及其他相关责任。</w:t>
      </w:r>
    </w:p>
    <w:p w14:paraId="2D61F94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）结算方式：验收合格后填写</w:t>
      </w:r>
      <w:r>
        <w:rPr>
          <w:rFonts w:hint="eastAsia" w:ascii="宋体" w:hAnsi="宋体" w:eastAsia="宋体" w:cs="宋体"/>
          <w:color w:val="auto"/>
          <w:sz w:val="24"/>
          <w:szCs w:val="24"/>
          <w:lang w:eastAsia="zh-CN"/>
        </w:rPr>
        <w:t>西安市第五医院设备</w:t>
      </w:r>
      <w:r>
        <w:rPr>
          <w:rFonts w:hint="eastAsia" w:ascii="宋体" w:hAnsi="宋体" w:eastAsia="宋体" w:cs="宋体"/>
          <w:bCs/>
          <w:color w:val="auto"/>
          <w:sz w:val="24"/>
          <w:szCs w:val="24"/>
        </w:rPr>
        <w:t>验收单（一式</w:t>
      </w:r>
      <w:r>
        <w:rPr>
          <w:rFonts w:hint="eastAsia" w:ascii="宋体" w:hAnsi="宋体" w:eastAsia="宋体" w:cs="宋体"/>
          <w:bCs/>
          <w:color w:val="auto"/>
          <w:sz w:val="24"/>
          <w:szCs w:val="24"/>
          <w:lang w:eastAsia="zh-CN"/>
        </w:rPr>
        <w:t>两</w:t>
      </w:r>
      <w:r>
        <w:rPr>
          <w:rFonts w:hint="eastAsia" w:ascii="宋体" w:hAnsi="宋体" w:eastAsia="宋体" w:cs="宋体"/>
          <w:bCs/>
          <w:color w:val="auto"/>
          <w:sz w:val="24"/>
          <w:szCs w:val="24"/>
        </w:rPr>
        <w:t>份）,发票（按合同总</w:t>
      </w:r>
      <w:r>
        <w:rPr>
          <w:rFonts w:hint="eastAsia" w:ascii="宋体" w:hAnsi="宋体" w:eastAsia="宋体" w:cs="宋体"/>
          <w:bCs/>
          <w:color w:val="auto"/>
          <w:sz w:val="24"/>
          <w:szCs w:val="24"/>
          <w:lang w:eastAsia="zh-CN"/>
        </w:rPr>
        <w:t>价值</w:t>
      </w:r>
      <w:r>
        <w:rPr>
          <w:rFonts w:hint="eastAsia" w:ascii="宋体" w:hAnsi="宋体" w:eastAsia="宋体" w:cs="宋体"/>
          <w:bCs/>
          <w:color w:val="auto"/>
          <w:sz w:val="24"/>
          <w:szCs w:val="24"/>
        </w:rPr>
        <w:t>开甲方），持中标通知书、</w:t>
      </w:r>
      <w:r>
        <w:rPr>
          <w:rFonts w:hint="eastAsia" w:ascii="宋体" w:hAnsi="宋体" w:eastAsia="宋体" w:cs="宋体"/>
          <w:bCs/>
          <w:color w:val="auto"/>
          <w:sz w:val="24"/>
          <w:szCs w:val="24"/>
          <w:lang w:val="en-US" w:eastAsia="zh-CN"/>
        </w:rPr>
        <w:t>买卖</w:t>
      </w:r>
      <w:r>
        <w:rPr>
          <w:rFonts w:hint="eastAsia" w:ascii="宋体" w:hAnsi="宋体" w:eastAsia="宋体" w:cs="宋体"/>
          <w:bCs/>
          <w:color w:val="auto"/>
          <w:sz w:val="24"/>
          <w:szCs w:val="24"/>
        </w:rPr>
        <w:t>合同、发票及其复印件、项目验收单，到甲方办理资金结算。</w:t>
      </w:r>
    </w:p>
    <w:p w14:paraId="2D7A46A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四、双方的权利和义务</w:t>
      </w:r>
    </w:p>
    <w:p w14:paraId="64BC5BF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（一）甲方的权利和义务</w:t>
      </w:r>
    </w:p>
    <w:p w14:paraId="6CA9FC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甲方权利：组织使用单位严格按照招标文件及投标文件要求和标准验收货物。</w:t>
      </w:r>
    </w:p>
    <w:p w14:paraId="068023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甲方义务：积极配合乙方验收、安装、调试工作。</w:t>
      </w:r>
    </w:p>
    <w:p w14:paraId="55D3C286">
      <w:pPr>
        <w:keepNext w:val="0"/>
        <w:keepLines w:val="0"/>
        <w:pageBreakBefore w:val="0"/>
        <w:widowControl w:val="0"/>
        <w:tabs>
          <w:tab w:val="left" w:pos="42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（二）乙方的权利和义务</w:t>
      </w:r>
    </w:p>
    <w:p w14:paraId="50A0CE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乙方权利：按照合同约定要求甲方及时付款。</w:t>
      </w:r>
    </w:p>
    <w:p w14:paraId="13EF10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乙方义务：按照合同约定时间，按甲方指定地点提供货物，配合验收工作，并负责安装、调试、提供现场技术培训，保证使用人员正常操作设备的各种功能。</w:t>
      </w:r>
    </w:p>
    <w:p w14:paraId="28EC92DE">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color w:val="auto"/>
          <w:sz w:val="24"/>
          <w:szCs w:val="24"/>
        </w:rPr>
      </w:pPr>
      <w:r>
        <w:rPr>
          <w:rFonts w:hint="eastAsia" w:ascii="宋体" w:hAnsi="宋体" w:eastAsia="宋体" w:cs="宋体"/>
          <w:b/>
          <w:color w:val="auto"/>
          <w:sz w:val="24"/>
          <w:szCs w:val="24"/>
        </w:rPr>
        <w:t>五、交货条件：</w:t>
      </w:r>
    </w:p>
    <w:p w14:paraId="36B7B437">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（一）交货地点：甲方指定地点。</w:t>
      </w:r>
    </w:p>
    <w:p w14:paraId="7A5F6624">
      <w:pPr>
        <w:keepNext w:val="0"/>
        <w:keepLines w:val="0"/>
        <w:pageBreakBefore w:val="0"/>
        <w:widowControl w:val="0"/>
        <w:suppressLineNumbers w:val="0"/>
        <w:tabs>
          <w:tab w:val="left" w:pos="480"/>
        </w:tabs>
        <w:kinsoku/>
        <w:wordWrap/>
        <w:overflowPunct/>
        <w:topLinePunct w:val="0"/>
        <w:bidi w:val="0"/>
        <w:spacing w:before="0" w:beforeAutospacing="0" w:after="0" w:afterAutospacing="0" w:line="360" w:lineRule="auto"/>
        <w:ind w:left="0" w:right="0" w:firstLine="480" w:firstLineChars="200"/>
        <w:jc w:val="both"/>
        <w:rPr>
          <w:rFonts w:hint="eastAsia" w:ascii="宋体" w:hAnsi="宋体" w:eastAsia="宋体" w:cs="宋体"/>
          <w:b/>
          <w:bCs/>
          <w:color w:val="auto"/>
          <w:sz w:val="24"/>
          <w:szCs w:val="24"/>
        </w:rPr>
      </w:pPr>
      <w:r>
        <w:rPr>
          <w:rFonts w:hint="eastAsia" w:ascii="宋体" w:hAnsi="宋体" w:eastAsia="宋体" w:cs="宋体"/>
          <w:color w:val="auto"/>
          <w:sz w:val="24"/>
          <w:szCs w:val="24"/>
        </w:rPr>
        <w:t>（二）交货期</w:t>
      </w:r>
      <w:r>
        <w:rPr>
          <w:rFonts w:hint="eastAsia" w:ascii="宋体" w:hAnsi="宋体" w:eastAsia="宋体" w:cs="宋体"/>
          <w:b/>
          <w:bCs/>
          <w:color w:val="auto"/>
          <w:sz w:val="24"/>
          <w:szCs w:val="24"/>
        </w:rPr>
        <w:t>：</w:t>
      </w:r>
      <w:r>
        <w:rPr>
          <w:rFonts w:hint="eastAsia" w:ascii="宋体" w:hAnsi="宋体" w:eastAsia="宋体" w:cs="宋体"/>
          <w:b w:val="0"/>
          <w:bCs w:val="0"/>
          <w:color w:val="auto"/>
          <w:sz w:val="24"/>
          <w:szCs w:val="24"/>
        </w:rPr>
        <w:t>自合同签订之日起</w:t>
      </w:r>
      <w:r>
        <w:rPr>
          <w:rFonts w:hint="eastAsia" w:ascii="宋体" w:hAnsi="宋体" w:eastAsia="宋体" w:cs="宋体"/>
          <w:b w:val="0"/>
          <w:bCs w:val="0"/>
          <w:color w:val="auto"/>
          <w:sz w:val="24"/>
          <w:szCs w:val="24"/>
          <w:lang w:val="en-US" w:eastAsia="zh-CN"/>
        </w:rPr>
        <w:t>，乙方接到甲方通知后5</w:t>
      </w:r>
      <w:r>
        <w:rPr>
          <w:rFonts w:hint="eastAsia" w:ascii="宋体" w:hAnsi="宋体" w:eastAsia="宋体" w:cs="宋体"/>
          <w:b w:val="0"/>
          <w:bCs w:val="0"/>
          <w:color w:val="auto"/>
          <w:sz w:val="24"/>
          <w:szCs w:val="24"/>
        </w:rPr>
        <w:t>个</w:t>
      </w:r>
      <w:r>
        <w:rPr>
          <w:rFonts w:hint="eastAsia" w:ascii="宋体" w:hAnsi="宋体" w:eastAsia="宋体" w:cs="宋体"/>
          <w:b w:val="0"/>
          <w:bCs w:val="0"/>
          <w:color w:val="auto"/>
          <w:sz w:val="24"/>
          <w:szCs w:val="24"/>
          <w:lang w:eastAsia="zh-CN"/>
        </w:rPr>
        <w:t>工作</w:t>
      </w:r>
      <w:r>
        <w:rPr>
          <w:rFonts w:hint="eastAsia" w:ascii="宋体" w:hAnsi="宋体" w:eastAsia="宋体" w:cs="宋体"/>
          <w:b w:val="0"/>
          <w:bCs w:val="0"/>
          <w:color w:val="auto"/>
          <w:sz w:val="24"/>
          <w:szCs w:val="24"/>
        </w:rPr>
        <w:t>日完成货物的安装、调试并正常运行</w:t>
      </w:r>
      <w:r>
        <w:rPr>
          <w:rFonts w:hint="eastAsia" w:ascii="宋体" w:hAnsi="宋体" w:eastAsia="宋体" w:cs="宋体"/>
          <w:b/>
          <w:bCs/>
          <w:color w:val="auto"/>
          <w:sz w:val="24"/>
          <w:szCs w:val="24"/>
        </w:rPr>
        <w:t>。</w:t>
      </w:r>
    </w:p>
    <w:p w14:paraId="3071F78F">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六、运输</w:t>
      </w:r>
    </w:p>
    <w:p w14:paraId="7E9C36F7">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（一）运输由乙方负责，运杂费已包含在合同总价内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包括从货物供应地点所含的运输费、装卸费、仓储费、保险费等。</w:t>
      </w:r>
    </w:p>
    <w:p w14:paraId="223D9BFB">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（二）运输方式由乙方自行选择，但必须保证按期交货。</w:t>
      </w:r>
    </w:p>
    <w:p w14:paraId="6CC6B7FF">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七、质量保证</w:t>
      </w:r>
    </w:p>
    <w:p w14:paraId="2D0F50DB">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乙方所供货物必须执行下列条款：</w:t>
      </w:r>
    </w:p>
    <w:p w14:paraId="3B0F61A0">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（一）保证技术指标先进、质量性能可靠、进货渠道正常，配置合理，全面满足</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要求。</w:t>
      </w:r>
    </w:p>
    <w:p w14:paraId="3DABB6A3">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（二）符合国家有关规范要求，确保达到最佳运行状态。</w:t>
      </w:r>
    </w:p>
    <w:p w14:paraId="58388616">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（三）具有良好的外观，适合安装场所的使用。</w:t>
      </w:r>
    </w:p>
    <w:p w14:paraId="593B56EA">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（四）自安装、调试正常运行并验收合格之日起：</w:t>
      </w:r>
    </w:p>
    <w:p w14:paraId="3FE4311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免费整机保修三年（含第三方设备），终身维护，免费保修期内，同一主要部件出现质量问题经过两次维修后仍无法正常使用，可以更换同型号、同规格的产品，服务响应时间不超过2小时，解决问题不超过4小时，对超过4小时，问题较大短期内暂不能解决的，为不影响甲方正常工作，乙方在2日内免费提供替代产品，确保正常运行；</w:t>
      </w:r>
    </w:p>
    <w:p w14:paraId="7987D52A">
      <w:pPr>
        <w:keepNext w:val="0"/>
        <w:keepLines w:val="0"/>
        <w:pageBreakBefore w:val="0"/>
        <w:widowControl w:val="0"/>
        <w:tabs>
          <w:tab w:val="left" w:pos="480"/>
        </w:tabs>
        <w:kinsoku/>
        <w:wordWrap/>
        <w:overflowPunct/>
        <w:topLinePunct w:val="0"/>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、30天内，如出现质量问题，可以选择换货或退货；</w:t>
      </w:r>
    </w:p>
    <w:p w14:paraId="1E0178B9">
      <w:pPr>
        <w:keepNext w:val="0"/>
        <w:keepLines w:val="0"/>
        <w:pageBreakBefore w:val="0"/>
        <w:widowControl w:val="0"/>
        <w:tabs>
          <w:tab w:val="left" w:pos="480"/>
        </w:tabs>
        <w:kinsoku/>
        <w:wordWrap/>
        <w:overflowPunct/>
        <w:topLinePunct w:val="0"/>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、30至60天内，如出现质量问题，可选择换货。</w:t>
      </w:r>
    </w:p>
    <w:p w14:paraId="23CAB296">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、设备因产品质量或设计缺陷等问题，而发生的医疗差错或医疗纠纷而引起的经济责任及法律责任由乙方及生产厂商负全部责任，如果造成损失，由乙方赔偿甲方的全部损失包括直接损失和间接损失</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包括</w:t>
      </w:r>
      <w:r>
        <w:rPr>
          <w:rFonts w:hint="eastAsia" w:ascii="宋体" w:hAnsi="宋体" w:eastAsia="宋体" w:cs="宋体"/>
          <w:color w:val="auto"/>
          <w:sz w:val="24"/>
          <w:szCs w:val="24"/>
          <w:lang w:val="en-US" w:eastAsia="zh-CN"/>
        </w:rPr>
        <w:t>但不限于</w:t>
      </w:r>
      <w:r>
        <w:rPr>
          <w:rFonts w:hint="eastAsia" w:ascii="宋体" w:hAnsi="宋体" w:eastAsia="宋体" w:cs="宋体"/>
          <w:color w:val="auto"/>
          <w:sz w:val="24"/>
          <w:szCs w:val="24"/>
        </w:rPr>
        <w:t>给第三人（病人）造成人身损害、财产损失</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医院支出的相关费</w:t>
      </w:r>
      <w:r>
        <w:rPr>
          <w:rFonts w:hint="eastAsia" w:ascii="宋体" w:hAnsi="宋体" w:eastAsia="宋体" w:cs="宋体"/>
          <w:color w:val="auto"/>
          <w:sz w:val="24"/>
          <w:szCs w:val="24"/>
          <w:lang w:val="en-US" w:eastAsia="zh-CN"/>
        </w:rPr>
        <w:t>用以及</w:t>
      </w:r>
      <w:r>
        <w:rPr>
          <w:rFonts w:hint="eastAsia" w:ascii="宋体" w:hAnsi="宋体" w:eastAsia="宋体" w:cs="宋体"/>
          <w:color w:val="auto"/>
          <w:sz w:val="24"/>
          <w:szCs w:val="24"/>
          <w:lang w:eastAsia="zh-CN"/>
        </w:rPr>
        <w:t>诉讼费及律师费等</w:t>
      </w:r>
      <w:r>
        <w:rPr>
          <w:rFonts w:hint="eastAsia" w:ascii="宋体" w:hAnsi="宋体" w:eastAsia="宋体" w:cs="宋体"/>
          <w:color w:val="auto"/>
          <w:sz w:val="24"/>
          <w:szCs w:val="24"/>
        </w:rPr>
        <w:t>），如在质保期内，甲方可以从未付款项中直接扣除。</w:t>
      </w:r>
    </w:p>
    <w:p w14:paraId="61EAE642">
      <w:pPr>
        <w:pStyle w:val="13"/>
        <w:keepNext w:val="0"/>
        <w:keepLines w:val="0"/>
        <w:pageBreakBefore w:val="0"/>
        <w:widowControl w:val="0"/>
        <w:kinsoku/>
        <w:wordWrap/>
        <w:overflowPunct/>
        <w:topLinePunct w:val="0"/>
        <w:autoSpaceDE w:val="0"/>
        <w:autoSpaceDN w:val="0"/>
        <w:bidi w:val="0"/>
        <w:adjustRightInd w:val="0"/>
        <w:spacing w:before="0" w:after="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（五）合同履行过程中及施工中所有的安全责任事故及造成的经济损失由乙方承担。</w:t>
      </w:r>
    </w:p>
    <w:p w14:paraId="3829CADA">
      <w:pPr>
        <w:keepNext w:val="0"/>
        <w:keepLines w:val="0"/>
        <w:pageBreakBefore w:val="0"/>
        <w:widowControl w:val="0"/>
        <w:kinsoku/>
        <w:wordWrap/>
        <w:overflowPunct/>
        <w:topLinePunct w:val="0"/>
        <w:bidi w:val="0"/>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八、售后服务</w:t>
      </w:r>
    </w:p>
    <w:p w14:paraId="17C7807A">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乙方所供货物提供以下售后服务：</w:t>
      </w:r>
    </w:p>
    <w:p w14:paraId="6ED214D4">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（一）质保期内：</w:t>
      </w:r>
    </w:p>
    <w:p w14:paraId="0D2D4504">
      <w:pPr>
        <w:keepNext w:val="0"/>
        <w:keepLines w:val="0"/>
        <w:pageBreakBefore w:val="0"/>
        <w:widowControl w:val="0"/>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1、发生质量问题，接到甲方通知后，应于当日派出专业的维修人员到现场进行检测维修，发生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的全部费用由乙方承担，若需送回生产厂，乙方承担往返费用；</w:t>
      </w:r>
    </w:p>
    <w:p w14:paraId="6FE8E541">
      <w:pPr>
        <w:keepNext w:val="0"/>
        <w:keepLines w:val="0"/>
        <w:pageBreakBefore w:val="0"/>
        <w:widowControl w:val="0"/>
        <w:tabs>
          <w:tab w:val="left" w:pos="420"/>
        </w:tabs>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2、定期派技术人员到现场走访，给予检查维护；</w:t>
      </w:r>
    </w:p>
    <w:p w14:paraId="18D55500">
      <w:pPr>
        <w:keepNext w:val="0"/>
        <w:keepLines w:val="0"/>
        <w:pageBreakBefore w:val="0"/>
        <w:widowControl w:val="0"/>
        <w:tabs>
          <w:tab w:val="left" w:pos="420"/>
        </w:tabs>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3、排除故障的期限不得超过24小时。否则甲方有权指定第三方维修，维修费用由乙方承担。</w:t>
      </w:r>
    </w:p>
    <w:p w14:paraId="79ADC99A">
      <w:pPr>
        <w:pStyle w:val="4"/>
        <w:keepNext w:val="0"/>
        <w:keepLines w:val="0"/>
        <w:pageBreakBefore w:val="0"/>
        <w:widowControl w:val="0"/>
        <w:tabs>
          <w:tab w:val="left" w:pos="420"/>
        </w:tabs>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4、质保期从货物验收合格之日起计算质保期。</w:t>
      </w:r>
    </w:p>
    <w:p w14:paraId="511A248D">
      <w:pPr>
        <w:keepNext w:val="0"/>
        <w:keepLines w:val="0"/>
        <w:pageBreakBefore w:val="0"/>
        <w:widowControl w:val="0"/>
        <w:tabs>
          <w:tab w:val="left" w:pos="420"/>
        </w:tabs>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（二）质保期结束前，进行系统测试，全面保养维护，确保正常运行。</w:t>
      </w:r>
    </w:p>
    <w:p w14:paraId="51A128B1">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九、技术与服务</w:t>
      </w:r>
    </w:p>
    <w:p w14:paraId="5F4889B1">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（一）技术资料包括：</w:t>
      </w:r>
    </w:p>
    <w:p w14:paraId="1164079D">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1、货物合格证；</w:t>
      </w:r>
    </w:p>
    <w:p w14:paraId="15D1A0E6">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2、货物使用说明书（中文）；</w:t>
      </w:r>
    </w:p>
    <w:p w14:paraId="57788BE8">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3、项目峻工资料、检验测试报告；</w:t>
      </w:r>
    </w:p>
    <w:p w14:paraId="09EDB07A">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4、其它资料。</w:t>
      </w:r>
    </w:p>
    <w:p w14:paraId="47DFA700">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（二）服务承诺：以</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响应文件、澄清表（函）、合同和随货物的相关文件为准。</w:t>
      </w:r>
    </w:p>
    <w:p w14:paraId="36C91821">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十、验收</w:t>
      </w:r>
    </w:p>
    <w:p w14:paraId="568336D5">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（一）货物到达甲方指定地点后，甲方根据合同要求，进行外观验收，确认产地、规格、型号和数量。</w:t>
      </w:r>
      <w:r>
        <w:rPr>
          <w:rFonts w:hint="eastAsia" w:ascii="宋体" w:hAnsi="宋体" w:eastAsia="宋体" w:cs="宋体"/>
          <w:color w:val="auto"/>
          <w:sz w:val="24"/>
          <w:szCs w:val="24"/>
          <w:lang w:val="en-US" w:eastAsia="zh-CN"/>
        </w:rPr>
        <w:t>验收不作为产品质量合格的最终依据</w:t>
      </w:r>
      <w:r>
        <w:rPr>
          <w:rFonts w:hint="eastAsia" w:ascii="宋体" w:hAnsi="宋体" w:eastAsia="宋体" w:cs="宋体"/>
          <w:color w:val="auto"/>
          <w:sz w:val="24"/>
          <w:szCs w:val="24"/>
        </w:rPr>
        <w:t>。</w:t>
      </w:r>
    </w:p>
    <w:p w14:paraId="2D23234D">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（二）货物安装、调试并正常运行后，由乙方进行自检，合格后，准备验收文件，并书面通知甲方。</w:t>
      </w:r>
    </w:p>
    <w:p w14:paraId="7864BB3A">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（三）甲方确认乙方的自检内容后，组织乙方（必要时请有关专家）进行系统验收，验收合格后，填写</w:t>
      </w:r>
      <w:r>
        <w:rPr>
          <w:rFonts w:hint="eastAsia" w:ascii="宋体" w:hAnsi="宋体" w:eastAsia="宋体" w:cs="宋体"/>
          <w:bCs/>
          <w:color w:val="auto"/>
          <w:sz w:val="24"/>
          <w:szCs w:val="24"/>
        </w:rPr>
        <w:t>政府采购项目验收单（一式叁份）</w:t>
      </w:r>
      <w:r>
        <w:rPr>
          <w:rFonts w:hint="eastAsia" w:ascii="宋体" w:hAnsi="宋体" w:eastAsia="宋体" w:cs="宋体"/>
          <w:color w:val="auto"/>
          <w:sz w:val="24"/>
          <w:szCs w:val="24"/>
        </w:rPr>
        <w:t>作为对货物的最终认可。</w:t>
      </w:r>
    </w:p>
    <w:p w14:paraId="4EB4D301">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（四）乙方在验收中应向甲方提交货物安装，调试过程中的所有资料包括本合同第九条（一）项要求的资料，以便甲方日后管理和维护。</w:t>
      </w:r>
    </w:p>
    <w:p w14:paraId="6701DE95">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（五）验收依据：</w:t>
      </w:r>
    </w:p>
    <w:p w14:paraId="041D8784">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文件、</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响应文件、澄清表（函）；</w:t>
      </w:r>
    </w:p>
    <w:p w14:paraId="6853EB81">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2、本合同及附件文本；</w:t>
      </w:r>
    </w:p>
    <w:p w14:paraId="202B0A0F">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3、国家相应的标准、规范。</w:t>
      </w:r>
    </w:p>
    <w:p w14:paraId="06762B57">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十一、违约责任</w:t>
      </w:r>
    </w:p>
    <w:p w14:paraId="34BFD6AF">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（一）按《</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《政府采购法》中的相关条款执行。</w:t>
      </w:r>
    </w:p>
    <w:p w14:paraId="16E37F90">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（二）未按合同要求提供货物或质量不能满足</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技术要求，乙方必须无条件更换，提高技术，完善质量，否则</w:t>
      </w:r>
      <w:r>
        <w:rPr>
          <w:rFonts w:hint="eastAsia" w:ascii="宋体" w:hAnsi="宋体" w:eastAsia="宋体" w:cs="宋体"/>
          <w:color w:val="auto"/>
          <w:sz w:val="24"/>
          <w:szCs w:val="24"/>
          <w:highlight w:val="none"/>
        </w:rPr>
        <w:t>，甲方有权终止合同，并</w:t>
      </w:r>
      <w:r>
        <w:rPr>
          <w:rFonts w:hint="eastAsia" w:ascii="宋体" w:hAnsi="宋体" w:eastAsia="宋体" w:cs="宋体"/>
          <w:color w:val="auto"/>
          <w:sz w:val="24"/>
          <w:szCs w:val="24"/>
        </w:rPr>
        <w:t>对乙方的违约行为报监管机构进行相应的处罚。</w:t>
      </w:r>
    </w:p>
    <w:p w14:paraId="71EB4770">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（三）交货期每超过一天，扣除乙方合同总价款的</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‰，作为违约金。</w:t>
      </w:r>
    </w:p>
    <w:p w14:paraId="76BF4F39">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四</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如果乙方延期交货30天以上，则本合同解除。</w:t>
      </w:r>
      <w:r>
        <w:rPr>
          <w:rFonts w:hint="eastAsia" w:ascii="宋体" w:hAnsi="宋体" w:eastAsia="宋体" w:cs="宋体"/>
          <w:b w:val="0"/>
          <w:bCs w:val="0"/>
          <w:color w:val="auto"/>
          <w:sz w:val="24"/>
          <w:szCs w:val="24"/>
          <w:lang w:val="en-US" w:eastAsia="zh-CN"/>
        </w:rPr>
        <w:t>乙方违反合同约定</w:t>
      </w:r>
      <w:r>
        <w:rPr>
          <w:rFonts w:hint="eastAsia" w:ascii="宋体" w:hAnsi="宋体" w:eastAsia="宋体" w:cs="宋体"/>
          <w:b w:val="0"/>
          <w:bCs w:val="0"/>
          <w:color w:val="auto"/>
          <w:sz w:val="24"/>
          <w:szCs w:val="24"/>
        </w:rPr>
        <w:t>需赔偿甲方总价款的30%作为违约金。</w:t>
      </w:r>
    </w:p>
    <w:p w14:paraId="1ED20B65">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五</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乙方货物到达甲方指定地点，一般设备五个日历日内完成安装调试及培训，大型设备十个日历日完成安装调试及培训</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每超过一天，扣除乙方合同总价款的</w:t>
      </w:r>
      <w:r>
        <w:rPr>
          <w:rFonts w:hint="eastAsia" w:ascii="宋体" w:hAnsi="宋体" w:eastAsia="宋体" w:cs="宋体"/>
          <w:b w:val="0"/>
          <w:bCs w:val="0"/>
          <w:color w:val="auto"/>
          <w:sz w:val="24"/>
          <w:szCs w:val="24"/>
          <w:u w:val="single"/>
        </w:rPr>
        <w:t xml:space="preserve"> 1 </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作为违约金</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如</w:t>
      </w:r>
      <w:r>
        <w:rPr>
          <w:rFonts w:hint="eastAsia" w:ascii="宋体" w:hAnsi="宋体" w:eastAsia="宋体" w:cs="宋体"/>
          <w:b w:val="0"/>
          <w:bCs w:val="0"/>
          <w:color w:val="auto"/>
          <w:sz w:val="24"/>
          <w:szCs w:val="24"/>
          <w:lang w:val="en-US" w:eastAsia="zh-CN"/>
        </w:rPr>
        <w:t>30天内未安装调试完成货物，甲方可以解除合同，并要求乙方支付总价款的30%的违约金。</w:t>
      </w:r>
    </w:p>
    <w:p w14:paraId="382A5CF5">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十二、合同争议解决的方式</w:t>
      </w:r>
    </w:p>
    <w:p w14:paraId="5724FFA9">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本合同在履行过程中发生的争议，由甲、乙双方当事人协商解决，协商不成的按下列第（二）种方式解决：</w:t>
      </w:r>
    </w:p>
    <w:p w14:paraId="7F8B9DB6">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（一）提交</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rPr>
        <w:t>西安</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仲裁委员会仲裁；</w:t>
      </w:r>
    </w:p>
    <w:p w14:paraId="59051A13">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 xml:space="preserve">（二）依法向 </w:t>
      </w:r>
      <w:r>
        <w:rPr>
          <w:rFonts w:hint="eastAsia" w:ascii="宋体" w:hAnsi="宋体" w:eastAsia="宋体" w:cs="宋体"/>
          <w:color w:val="auto"/>
          <w:sz w:val="24"/>
          <w:szCs w:val="24"/>
          <w:u w:val="single"/>
        </w:rPr>
        <w:t xml:space="preserve">甲方 </w:t>
      </w:r>
      <w:r>
        <w:rPr>
          <w:rFonts w:hint="eastAsia" w:ascii="宋体" w:hAnsi="宋体" w:eastAsia="宋体" w:cs="宋体"/>
          <w:color w:val="auto"/>
          <w:sz w:val="24"/>
          <w:szCs w:val="24"/>
        </w:rPr>
        <w:t>所在地人民法院起诉。</w:t>
      </w:r>
    </w:p>
    <w:p w14:paraId="714C4937">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十三、合同生效</w:t>
      </w:r>
    </w:p>
    <w:p w14:paraId="541E3907">
      <w:pPr>
        <w:keepNext w:val="0"/>
        <w:keepLines w:val="0"/>
        <w:pageBreakBefore w:val="0"/>
        <w:tabs>
          <w:tab w:val="left" w:pos="480"/>
        </w:tabs>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本合同一式伍份，甲方执</w:t>
      </w:r>
      <w:r>
        <w:rPr>
          <w:rFonts w:hint="eastAsia" w:ascii="宋体" w:hAnsi="宋体" w:eastAsia="宋体" w:cs="宋体"/>
          <w:color w:val="auto"/>
          <w:sz w:val="24"/>
          <w:szCs w:val="24"/>
          <w:lang w:val="en-US" w:eastAsia="zh-CN"/>
        </w:rPr>
        <w:t>肆</w:t>
      </w:r>
      <w:r>
        <w:rPr>
          <w:rFonts w:hint="eastAsia" w:ascii="宋体" w:hAnsi="宋体" w:eastAsia="宋体" w:cs="宋体"/>
          <w:color w:val="auto"/>
          <w:sz w:val="24"/>
          <w:szCs w:val="24"/>
        </w:rPr>
        <w:t>份，乙方</w:t>
      </w:r>
      <w:r>
        <w:rPr>
          <w:rFonts w:hint="eastAsia" w:ascii="宋体" w:hAnsi="宋体" w:eastAsia="宋体" w:cs="宋体"/>
          <w:color w:val="auto"/>
          <w:sz w:val="24"/>
          <w:szCs w:val="24"/>
          <w:lang w:val="en-US" w:eastAsia="zh-CN"/>
        </w:rPr>
        <w:t>壹份</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每份具有同等法律效力，</w:t>
      </w:r>
      <w:r>
        <w:rPr>
          <w:rFonts w:hint="eastAsia" w:ascii="宋体" w:hAnsi="宋体" w:eastAsia="宋体" w:cs="宋体"/>
          <w:color w:val="auto"/>
          <w:sz w:val="24"/>
          <w:szCs w:val="24"/>
        </w:rPr>
        <w:t>本合同甲、乙</w:t>
      </w:r>
      <w:r>
        <w:rPr>
          <w:rFonts w:hint="eastAsia" w:ascii="宋体" w:hAnsi="宋体" w:eastAsia="宋体" w:cs="宋体"/>
          <w:color w:val="auto"/>
          <w:sz w:val="24"/>
          <w:szCs w:val="24"/>
          <w:lang w:val="en-US" w:eastAsia="zh-CN"/>
        </w:rPr>
        <w:t>双方</w:t>
      </w:r>
      <w:r>
        <w:rPr>
          <w:rFonts w:hint="eastAsia" w:ascii="宋体" w:hAnsi="宋体" w:eastAsia="宋体" w:cs="宋体"/>
          <w:color w:val="auto"/>
          <w:sz w:val="24"/>
          <w:szCs w:val="24"/>
        </w:rPr>
        <w:t>确认各方签字盖章后生效，合同执行完毕后，自动失效（合同的服务承诺则长期有效）。</w:t>
      </w:r>
    </w:p>
    <w:p w14:paraId="45E204C5">
      <w:pPr>
        <w:keepNext w:val="0"/>
        <w:keepLines w:val="0"/>
        <w:pageBreakBefore w:val="0"/>
        <w:tabs>
          <w:tab w:val="left" w:pos="480"/>
        </w:tabs>
        <w:kinsoku/>
        <w:wordWrap/>
        <w:overflowPunct/>
        <w:topLinePunct w:val="0"/>
        <w:bidi w:val="0"/>
        <w:spacing w:line="360" w:lineRule="auto"/>
        <w:ind w:firstLine="482" w:firstLineChars="200"/>
        <w:jc w:val="both"/>
        <w:rPr>
          <w:rFonts w:hint="eastAsia" w:ascii="宋体" w:hAnsi="宋体" w:eastAsia="宋体" w:cs="宋体"/>
          <w:b/>
          <w:color w:val="auto"/>
          <w:sz w:val="24"/>
          <w:szCs w:val="24"/>
        </w:rPr>
      </w:pPr>
      <w:r>
        <w:rPr>
          <w:rFonts w:hint="eastAsia" w:ascii="宋体" w:hAnsi="宋体" w:eastAsia="宋体" w:cs="宋体"/>
          <w:b/>
          <w:color w:val="auto"/>
          <w:sz w:val="24"/>
          <w:szCs w:val="24"/>
        </w:rPr>
        <w:t>十四、其他事项</w:t>
      </w:r>
    </w:p>
    <w:p w14:paraId="294ACD34">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）西安市财政局政府采购管理处在合同的履行期间以及履行期后，可以随时检查项目的执行情况，对采购内容、标准进行调查核实，并对发现的问题进行处理。</w:t>
      </w:r>
    </w:p>
    <w:p w14:paraId="44D3B430">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文件、</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响应文件、澄清表（函）、成交通知书、合同附件均成为合同不可分割的部分。</w:t>
      </w:r>
    </w:p>
    <w:p w14:paraId="65BC77ED">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）合同未尽事宜，由甲、乙双方协商，作为合同补充，与原合同具有同等法律效力。</w:t>
      </w:r>
    </w:p>
    <w:p w14:paraId="0D374905">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）合同一经签订，不得擅自变更、中止或终止合同。对确需变更、调整或中止、终止合同的，应按规定履行相应的手续。</w:t>
      </w:r>
    </w:p>
    <w:p w14:paraId="2D00A35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（五）</w:t>
      </w:r>
      <w:r>
        <w:rPr>
          <w:rFonts w:hint="eastAsia" w:ascii="宋体" w:hAnsi="宋体" w:eastAsia="宋体" w:cs="宋体"/>
          <w:i w:val="0"/>
          <w:iCs w:val="0"/>
          <w:caps w:val="0"/>
          <w:color w:val="auto"/>
          <w:spacing w:val="0"/>
          <w:kern w:val="0"/>
          <w:sz w:val="24"/>
          <w:szCs w:val="24"/>
          <w:shd w:val="clear" w:color="auto" w:fill="FFFFFF"/>
          <w:lang w:val="en-US" w:eastAsia="zh-CN" w:bidi="ar"/>
        </w:rPr>
        <w:t>有下列情形之一的，甲方可以解除合同：（1）因不可抗力致使不能实现合同目的；（2）在履行期限届满之前，乙方明确表示或者以自己的行为表明不履行主要债务；（3）乙方迟延履行主要债务，经催告后在合理</w:t>
      </w:r>
      <w:r>
        <w:rPr>
          <w:rFonts w:hint="eastAsia" w:ascii="宋体" w:hAnsi="宋体" w:eastAsia="宋体" w:cs="宋体"/>
          <w:i w:val="0"/>
          <w:iCs w:val="0"/>
          <w:caps w:val="0"/>
          <w:color w:val="auto"/>
          <w:spacing w:val="0"/>
          <w:kern w:val="0"/>
          <w:sz w:val="24"/>
          <w:szCs w:val="24"/>
          <w:u w:val="none"/>
          <w:shd w:val="clear" w:color="auto" w:fill="FFFFFF"/>
          <w:lang w:val="en-US" w:eastAsia="zh-CN" w:bidi="ar"/>
        </w:rPr>
        <w:fldChar w:fldCharType="begin"/>
      </w:r>
      <w:r>
        <w:rPr>
          <w:rFonts w:hint="eastAsia" w:ascii="宋体" w:hAnsi="宋体" w:eastAsia="宋体" w:cs="宋体"/>
          <w:i w:val="0"/>
          <w:iCs w:val="0"/>
          <w:caps w:val="0"/>
          <w:color w:val="auto"/>
          <w:spacing w:val="0"/>
          <w:kern w:val="0"/>
          <w:sz w:val="24"/>
          <w:szCs w:val="24"/>
          <w:u w:val="none"/>
          <w:shd w:val="clear" w:color="auto" w:fill="FFFFFF"/>
          <w:lang w:val="en-US" w:eastAsia="zh-CN" w:bidi="ar"/>
        </w:rPr>
        <w:instrText xml:space="preserve"> HYPERLINK "http://www.so.com/s?q=%E6%9C%9F%E9%99%90&amp;ie=utf-8&amp;src=internal_wenda_recommend_textn" \t "https://wenda.so.com/q/_blank" </w:instrText>
      </w:r>
      <w:r>
        <w:rPr>
          <w:rFonts w:hint="eastAsia" w:ascii="宋体" w:hAnsi="宋体" w:eastAsia="宋体" w:cs="宋体"/>
          <w:i w:val="0"/>
          <w:iCs w:val="0"/>
          <w:caps w:val="0"/>
          <w:color w:val="auto"/>
          <w:spacing w:val="0"/>
          <w:kern w:val="0"/>
          <w:sz w:val="24"/>
          <w:szCs w:val="24"/>
          <w:u w:val="none"/>
          <w:shd w:val="clear" w:color="auto" w:fill="FFFFFF"/>
          <w:lang w:val="en-US" w:eastAsia="zh-CN" w:bidi="ar"/>
        </w:rPr>
        <w:fldChar w:fldCharType="separate"/>
      </w:r>
      <w:r>
        <w:rPr>
          <w:rStyle w:val="9"/>
          <w:rFonts w:hint="eastAsia" w:ascii="宋体" w:hAnsi="宋体" w:eastAsia="宋体" w:cs="宋体"/>
          <w:i w:val="0"/>
          <w:iCs w:val="0"/>
          <w:caps w:val="0"/>
          <w:color w:val="auto"/>
          <w:spacing w:val="0"/>
          <w:sz w:val="24"/>
          <w:szCs w:val="24"/>
          <w:u w:val="none"/>
          <w:shd w:val="clear" w:color="auto" w:fill="FFFFFF"/>
        </w:rPr>
        <w:t>期限</w:t>
      </w:r>
      <w:r>
        <w:rPr>
          <w:rFonts w:hint="eastAsia" w:ascii="宋体" w:hAnsi="宋体" w:eastAsia="宋体" w:cs="宋体"/>
          <w:i w:val="0"/>
          <w:iCs w:val="0"/>
          <w:caps w:val="0"/>
          <w:color w:val="auto"/>
          <w:spacing w:val="0"/>
          <w:kern w:val="0"/>
          <w:sz w:val="24"/>
          <w:szCs w:val="24"/>
          <w:u w:val="none"/>
          <w:shd w:val="clear" w:color="auto" w:fill="FFFFFF"/>
          <w:lang w:val="en-US" w:eastAsia="zh-CN" w:bidi="ar"/>
        </w:rPr>
        <w:fldChar w:fldCharType="end"/>
      </w:r>
      <w:r>
        <w:rPr>
          <w:rFonts w:hint="eastAsia" w:ascii="宋体" w:hAnsi="宋体" w:eastAsia="宋体" w:cs="宋体"/>
          <w:i w:val="0"/>
          <w:iCs w:val="0"/>
          <w:caps w:val="0"/>
          <w:color w:val="auto"/>
          <w:spacing w:val="0"/>
          <w:kern w:val="0"/>
          <w:sz w:val="24"/>
          <w:szCs w:val="24"/>
          <w:shd w:val="clear" w:color="auto" w:fill="FFFFFF"/>
          <w:lang w:val="en-US" w:eastAsia="zh-CN" w:bidi="ar"/>
        </w:rPr>
        <w:t>内仍未履行；（4）乙方迟延履行债务或者有其他</w:t>
      </w:r>
      <w:r>
        <w:rPr>
          <w:rFonts w:hint="eastAsia" w:ascii="宋体" w:hAnsi="宋体" w:eastAsia="宋体" w:cs="宋体"/>
          <w:i w:val="0"/>
          <w:iCs w:val="0"/>
          <w:caps w:val="0"/>
          <w:color w:val="auto"/>
          <w:spacing w:val="0"/>
          <w:kern w:val="0"/>
          <w:sz w:val="24"/>
          <w:szCs w:val="24"/>
          <w:u w:val="none"/>
          <w:shd w:val="clear" w:color="auto" w:fill="FFFFFF"/>
          <w:lang w:val="en-US" w:eastAsia="zh-CN" w:bidi="ar"/>
        </w:rPr>
        <w:fldChar w:fldCharType="begin"/>
      </w:r>
      <w:r>
        <w:rPr>
          <w:rFonts w:hint="eastAsia" w:ascii="宋体" w:hAnsi="宋体" w:eastAsia="宋体" w:cs="宋体"/>
          <w:i w:val="0"/>
          <w:iCs w:val="0"/>
          <w:caps w:val="0"/>
          <w:color w:val="auto"/>
          <w:spacing w:val="0"/>
          <w:kern w:val="0"/>
          <w:sz w:val="24"/>
          <w:szCs w:val="24"/>
          <w:u w:val="none"/>
          <w:shd w:val="clear" w:color="auto" w:fill="FFFFFF"/>
          <w:lang w:val="en-US" w:eastAsia="zh-CN" w:bidi="ar"/>
        </w:rPr>
        <w:instrText xml:space="preserve"> HYPERLINK "http://www.so.com/s?q=%E8%BF%9D%E7%BA%A6%E8%A1%8C%E4%B8%BA&amp;ie=utf-8&amp;src=internal_wenda_recommend_textn" \t "https://wenda.so.com/q/_blank" </w:instrText>
      </w:r>
      <w:r>
        <w:rPr>
          <w:rFonts w:hint="eastAsia" w:ascii="宋体" w:hAnsi="宋体" w:eastAsia="宋体" w:cs="宋体"/>
          <w:i w:val="0"/>
          <w:iCs w:val="0"/>
          <w:caps w:val="0"/>
          <w:color w:val="auto"/>
          <w:spacing w:val="0"/>
          <w:kern w:val="0"/>
          <w:sz w:val="24"/>
          <w:szCs w:val="24"/>
          <w:u w:val="none"/>
          <w:shd w:val="clear" w:color="auto" w:fill="FFFFFF"/>
          <w:lang w:val="en-US" w:eastAsia="zh-CN" w:bidi="ar"/>
        </w:rPr>
        <w:fldChar w:fldCharType="separate"/>
      </w:r>
      <w:r>
        <w:rPr>
          <w:rStyle w:val="9"/>
          <w:rFonts w:hint="eastAsia" w:ascii="宋体" w:hAnsi="宋体" w:eastAsia="宋体" w:cs="宋体"/>
          <w:i w:val="0"/>
          <w:iCs w:val="0"/>
          <w:caps w:val="0"/>
          <w:color w:val="auto"/>
          <w:spacing w:val="0"/>
          <w:sz w:val="24"/>
          <w:szCs w:val="24"/>
          <w:u w:val="none"/>
          <w:shd w:val="clear" w:color="auto" w:fill="FFFFFF"/>
        </w:rPr>
        <w:t>违约行为</w:t>
      </w:r>
      <w:r>
        <w:rPr>
          <w:rFonts w:hint="eastAsia" w:ascii="宋体" w:hAnsi="宋体" w:eastAsia="宋体" w:cs="宋体"/>
          <w:i w:val="0"/>
          <w:iCs w:val="0"/>
          <w:caps w:val="0"/>
          <w:color w:val="auto"/>
          <w:spacing w:val="0"/>
          <w:kern w:val="0"/>
          <w:sz w:val="24"/>
          <w:szCs w:val="24"/>
          <w:u w:val="none"/>
          <w:shd w:val="clear" w:color="auto" w:fill="FFFFFF"/>
          <w:lang w:val="en-US" w:eastAsia="zh-CN" w:bidi="ar"/>
        </w:rPr>
        <w:fldChar w:fldCharType="end"/>
      </w:r>
      <w:r>
        <w:rPr>
          <w:rFonts w:hint="eastAsia" w:ascii="宋体" w:hAnsi="宋体" w:eastAsia="宋体" w:cs="宋体"/>
          <w:i w:val="0"/>
          <w:iCs w:val="0"/>
          <w:caps w:val="0"/>
          <w:color w:val="auto"/>
          <w:spacing w:val="0"/>
          <w:kern w:val="0"/>
          <w:sz w:val="24"/>
          <w:szCs w:val="24"/>
          <w:shd w:val="clear" w:color="auto" w:fill="FFFFFF"/>
          <w:lang w:val="en-US" w:eastAsia="zh-CN" w:bidi="ar"/>
        </w:rPr>
        <w:t>致使不能实现合同目的。</w:t>
      </w:r>
    </w:p>
    <w:p w14:paraId="7B141C0E">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合同所涉及通知的形式：包含书面通知，电话，短信，微信，邮箱等由双方联系人确定。</w:t>
      </w:r>
    </w:p>
    <w:p w14:paraId="5EF79970">
      <w:pPr>
        <w:pStyle w:val="6"/>
        <w:keepNext w:val="0"/>
        <w:keepLines w:val="0"/>
        <w:pageBreakBefore w:val="0"/>
        <w:numPr>
          <w:ilvl w:val="0"/>
          <w:numId w:val="0"/>
        </w:numPr>
        <w:kinsoku/>
        <w:wordWrap/>
        <w:overflowPunct/>
        <w:topLinePunct w:val="0"/>
        <w:bidi w:val="0"/>
        <w:spacing w:line="360" w:lineRule="auto"/>
        <w:ind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七）甲方或乙方依照法律规定或本协议约定行使单方解除权的，解除协议通知（包括书信、传真、电子邮件）到达另一方时，本协议即终止其效力，送达地址以本合同签章处双方确认的送达地址为准，一方的送达地址如发生变更，应自发生变更之日起三日内书面通知另一方，如未及时通知，视为以本合同约定的送达地址为准，若由此产生的损失和责任由送达地址变动方自行承担。</w:t>
      </w:r>
    </w:p>
    <w:p w14:paraId="36FF8A23">
      <w:pPr>
        <w:pStyle w:val="6"/>
        <w:keepNext w:val="0"/>
        <w:keepLines w:val="0"/>
        <w:pageBreakBefore w:val="0"/>
        <w:numPr>
          <w:ilvl w:val="0"/>
          <w:numId w:val="0"/>
        </w:numPr>
        <w:kinsoku/>
        <w:wordWrap/>
        <w:overflowPunct/>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八</w:t>
      </w:r>
      <w:r>
        <w:rPr>
          <w:rFonts w:hint="eastAsia" w:ascii="宋体" w:hAnsi="宋体" w:eastAsia="宋体" w:cs="宋体"/>
          <w:color w:val="auto"/>
          <w:sz w:val="24"/>
          <w:szCs w:val="24"/>
        </w:rPr>
        <w:t>）本合同按照中华人民共和国的现行法律进行解释。</w:t>
      </w:r>
    </w:p>
    <w:p w14:paraId="129E081F">
      <w:pPr>
        <w:rPr>
          <w:rFonts w:hint="eastAsia" w:ascii="宋体" w:hAnsi="宋体"/>
          <w:color w:val="auto"/>
          <w:szCs w:val="21"/>
        </w:rPr>
      </w:pPr>
      <w:r>
        <w:rPr>
          <w:rFonts w:hint="eastAsia" w:ascii="宋体" w:hAnsi="宋体"/>
          <w:color w:val="auto"/>
          <w:szCs w:val="21"/>
        </w:rPr>
        <w:br w:type="page"/>
      </w:r>
    </w:p>
    <w:p w14:paraId="39C35CC2">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宋体" w:hAnsi="宋体" w:eastAsia="宋体"/>
          <w:sz w:val="24"/>
          <w:szCs w:val="24"/>
          <w:lang w:eastAsia="zh-CN"/>
        </w:rPr>
      </w:pPr>
      <w:r>
        <w:rPr>
          <w:rFonts w:hint="eastAsia" w:ascii="宋体" w:hAnsi="宋体"/>
          <w:sz w:val="24"/>
          <w:szCs w:val="24"/>
          <w:lang w:eastAsia="zh-CN"/>
        </w:rPr>
        <w:t>（</w:t>
      </w:r>
      <w:r>
        <w:rPr>
          <w:rFonts w:hint="eastAsia" w:ascii="宋体" w:hAnsi="宋体"/>
          <w:sz w:val="24"/>
          <w:szCs w:val="24"/>
          <w:lang w:val="en-US" w:eastAsia="zh-CN"/>
        </w:rPr>
        <w:t>此页无正文</w:t>
      </w:r>
      <w:r>
        <w:rPr>
          <w:rFonts w:hint="eastAsia" w:ascii="宋体" w:hAnsi="宋体"/>
          <w:sz w:val="24"/>
          <w:szCs w:val="24"/>
          <w:lang w:eastAsia="zh-CN"/>
        </w:rPr>
        <w:t>）</w:t>
      </w:r>
    </w:p>
    <w:p w14:paraId="6366F371">
      <w:pPr>
        <w:keepNext w:val="0"/>
        <w:keepLines w:val="0"/>
        <w:pageBreakBefore w:val="0"/>
        <w:widowControl w:val="0"/>
        <w:tabs>
          <w:tab w:val="left" w:pos="480"/>
          <w:tab w:val="left" w:pos="4200"/>
          <w:tab w:val="left" w:pos="4410"/>
        </w:tabs>
        <w:kinsoku/>
        <w:wordWrap/>
        <w:overflowPunct/>
        <w:topLinePunct w:val="0"/>
        <w:autoSpaceDE/>
        <w:autoSpaceDN/>
        <w:bidi w:val="0"/>
        <w:adjustRightInd/>
        <w:snapToGrid/>
        <w:spacing w:line="360" w:lineRule="auto"/>
        <w:textAlignment w:val="auto"/>
        <w:rPr>
          <w:rFonts w:hint="eastAsia" w:ascii="宋体" w:hAnsi="宋体"/>
          <w:sz w:val="24"/>
          <w:szCs w:val="24"/>
        </w:rPr>
      </w:pPr>
      <w:r>
        <w:rPr>
          <w:rFonts w:hint="eastAsia" w:ascii="宋体" w:hAnsi="宋体"/>
          <w:sz w:val="24"/>
          <w:szCs w:val="24"/>
        </w:rPr>
        <w:t xml:space="preserve">甲方（法人公章）                      </w:t>
      </w:r>
      <w:r>
        <w:rPr>
          <w:rFonts w:hint="eastAsia" w:ascii="宋体" w:hAnsi="宋体"/>
          <w:sz w:val="24"/>
          <w:szCs w:val="24"/>
          <w:lang w:val="en-US" w:eastAsia="zh-CN"/>
        </w:rPr>
        <w:t xml:space="preserve">  </w:t>
      </w:r>
      <w:r>
        <w:rPr>
          <w:rFonts w:hint="eastAsia" w:ascii="宋体" w:hAnsi="宋体"/>
          <w:sz w:val="24"/>
          <w:szCs w:val="24"/>
        </w:rPr>
        <w:t>乙方（法人公章）</w:t>
      </w:r>
    </w:p>
    <w:p w14:paraId="3F018F48">
      <w:pPr>
        <w:keepNext w:val="0"/>
        <w:keepLines w:val="0"/>
        <w:pageBreakBefore w:val="0"/>
        <w:widowControl w:val="0"/>
        <w:kinsoku/>
        <w:wordWrap/>
        <w:overflowPunct/>
        <w:topLinePunct w:val="0"/>
        <w:autoSpaceDE/>
        <w:autoSpaceDN/>
        <w:bidi w:val="0"/>
        <w:adjustRightInd/>
        <w:snapToGrid/>
        <w:spacing w:before="40" w:beforeLines="0" w:afterLines="0" w:line="360" w:lineRule="auto"/>
        <w:jc w:val="left"/>
        <w:textAlignment w:val="auto"/>
        <w:rPr>
          <w:rFonts w:hint="default" w:ascii="仿宋" w:hAnsi="仿宋" w:eastAsia="宋体"/>
          <w:color w:val="000000"/>
          <w:position w:val="20"/>
          <w:sz w:val="24"/>
          <w:szCs w:val="24"/>
          <w:lang w:val="en-US" w:eastAsia="zh-CN"/>
        </w:rPr>
      </w:pPr>
      <w:r>
        <w:rPr>
          <w:rFonts w:hint="eastAsia" w:ascii="宋体" w:hAnsi="宋体"/>
          <w:sz w:val="24"/>
          <w:szCs w:val="24"/>
        </w:rPr>
        <w:t xml:space="preserve">单位名称：西安市第五医院               </w:t>
      </w:r>
      <w:r>
        <w:rPr>
          <w:rFonts w:hint="eastAsia" w:ascii="宋体" w:hAnsi="宋体"/>
          <w:sz w:val="24"/>
          <w:szCs w:val="24"/>
          <w:lang w:val="en-US" w:eastAsia="zh-CN"/>
        </w:rPr>
        <w:t xml:space="preserve"> </w:t>
      </w:r>
      <w:r>
        <w:rPr>
          <w:rFonts w:hint="eastAsia" w:ascii="宋体" w:hAnsi="宋体"/>
          <w:sz w:val="24"/>
          <w:szCs w:val="24"/>
        </w:rPr>
        <w:t>单位名称：</w:t>
      </w:r>
    </w:p>
    <w:p w14:paraId="2FF040C9">
      <w:pPr>
        <w:keepNext w:val="0"/>
        <w:keepLines w:val="0"/>
        <w:pageBreakBefore w:val="0"/>
        <w:widowControl w:val="0"/>
        <w:tabs>
          <w:tab w:val="left" w:pos="4410"/>
        </w:tabs>
        <w:kinsoku/>
        <w:wordWrap/>
        <w:overflowPunct/>
        <w:topLinePunct w:val="0"/>
        <w:autoSpaceDE/>
        <w:autoSpaceDN/>
        <w:bidi w:val="0"/>
        <w:adjustRightInd/>
        <w:snapToGrid/>
        <w:spacing w:beforeLines="0" w:afterLines="0" w:line="360" w:lineRule="auto"/>
        <w:ind w:left="5040" w:hanging="5760" w:hangingChars="2400"/>
        <w:jc w:val="left"/>
        <w:textAlignment w:val="auto"/>
        <w:rPr>
          <w:rFonts w:hint="eastAsia" w:ascii="仿宋" w:hAnsi="仿宋" w:eastAsia="仿宋"/>
          <w:color w:val="000000"/>
          <w:sz w:val="24"/>
          <w:szCs w:val="24"/>
          <w:lang w:val="zh-CN"/>
        </w:rPr>
      </w:pPr>
      <w:r>
        <w:rPr>
          <w:rFonts w:hint="eastAsia" w:ascii="宋体" w:hAnsi="宋体"/>
          <w:sz w:val="24"/>
          <w:szCs w:val="24"/>
        </w:rPr>
        <w:t xml:space="preserve">地址：西安市莲湖区西关正街112号      </w:t>
      </w:r>
      <w:r>
        <w:rPr>
          <w:rFonts w:hint="eastAsia" w:ascii="宋体" w:hAnsi="宋体"/>
          <w:sz w:val="24"/>
          <w:szCs w:val="24"/>
          <w:lang w:val="en-US" w:eastAsia="zh-CN"/>
        </w:rPr>
        <w:t xml:space="preserve">  </w:t>
      </w:r>
      <w:r>
        <w:rPr>
          <w:rFonts w:hint="eastAsia" w:ascii="宋体" w:hAnsi="宋体"/>
          <w:sz w:val="24"/>
          <w:szCs w:val="24"/>
        </w:rPr>
        <w:t>地址：</w:t>
      </w:r>
    </w:p>
    <w:p w14:paraId="1523B48A">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宋体" w:hAnsi="宋体"/>
          <w:sz w:val="24"/>
          <w:szCs w:val="24"/>
        </w:rPr>
      </w:pPr>
    </w:p>
    <w:p w14:paraId="36A7F48F">
      <w:pPr>
        <w:keepNext w:val="0"/>
        <w:keepLines w:val="0"/>
        <w:pageBreakBefore w:val="0"/>
        <w:widowControl w:val="0"/>
        <w:tabs>
          <w:tab w:val="left" w:pos="480"/>
          <w:tab w:val="left" w:pos="3990"/>
          <w:tab w:val="left" w:pos="4200"/>
        </w:tabs>
        <w:kinsoku/>
        <w:wordWrap/>
        <w:overflowPunct/>
        <w:topLinePunct w:val="0"/>
        <w:autoSpaceDE/>
        <w:autoSpaceDN/>
        <w:bidi w:val="0"/>
        <w:adjustRightInd/>
        <w:snapToGrid/>
        <w:spacing w:line="360" w:lineRule="auto"/>
        <w:textAlignment w:val="auto"/>
        <w:rPr>
          <w:rFonts w:hint="eastAsia" w:ascii="宋体" w:hAnsi="宋体"/>
          <w:sz w:val="24"/>
          <w:szCs w:val="24"/>
        </w:rPr>
      </w:pPr>
      <w:r>
        <w:rPr>
          <w:rFonts w:hint="eastAsia" w:ascii="宋体" w:hAnsi="宋体"/>
          <w:sz w:val="24"/>
          <w:szCs w:val="24"/>
        </w:rPr>
        <w:t xml:space="preserve">经办人：                               </w:t>
      </w:r>
      <w:r>
        <w:rPr>
          <w:rFonts w:hint="eastAsia" w:ascii="宋体" w:hAnsi="宋体"/>
          <w:sz w:val="24"/>
          <w:szCs w:val="24"/>
          <w:lang w:val="en-US" w:eastAsia="zh-CN"/>
        </w:rPr>
        <w:t xml:space="preserve"> </w:t>
      </w:r>
      <w:r>
        <w:rPr>
          <w:rFonts w:hint="eastAsia" w:ascii="宋体" w:hAnsi="宋体"/>
          <w:sz w:val="24"/>
          <w:szCs w:val="24"/>
        </w:rPr>
        <w:t xml:space="preserve">经办人：                                </w:t>
      </w:r>
    </w:p>
    <w:p w14:paraId="47CD6E50">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宋体" w:hAnsi="宋体"/>
          <w:sz w:val="24"/>
          <w:szCs w:val="24"/>
        </w:rPr>
      </w:pPr>
    </w:p>
    <w:p w14:paraId="215FEDED">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宋体" w:hAnsi="宋体"/>
          <w:sz w:val="24"/>
          <w:szCs w:val="24"/>
        </w:rPr>
      </w:pPr>
      <w:r>
        <w:rPr>
          <w:rFonts w:hint="eastAsia" w:ascii="宋体" w:hAnsi="宋体"/>
          <w:sz w:val="24"/>
          <w:szCs w:val="24"/>
        </w:rPr>
        <w:t xml:space="preserve">主管院长：                                </w:t>
      </w:r>
    </w:p>
    <w:p w14:paraId="05452572">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宋体" w:hAnsi="宋体"/>
          <w:sz w:val="24"/>
          <w:szCs w:val="24"/>
        </w:rPr>
      </w:pPr>
      <w:r>
        <w:rPr>
          <w:rFonts w:hint="eastAsia" w:ascii="宋体" w:hAnsi="宋体"/>
          <w:sz w:val="24"/>
          <w:szCs w:val="24"/>
        </w:rPr>
        <w:t xml:space="preserve">                                  </w:t>
      </w:r>
    </w:p>
    <w:p w14:paraId="7C729A43">
      <w:pPr>
        <w:keepNext w:val="0"/>
        <w:keepLines w:val="0"/>
        <w:pageBreakBefore w:val="0"/>
        <w:widowControl w:val="0"/>
        <w:tabs>
          <w:tab w:val="left" w:pos="480"/>
        </w:tabs>
        <w:suppressAutoHyphens/>
        <w:kinsoku/>
        <w:wordWrap/>
        <w:overflowPunct/>
        <w:topLinePunct w:val="0"/>
        <w:autoSpaceDE/>
        <w:autoSpaceDN/>
        <w:bidi w:val="0"/>
        <w:adjustRightInd/>
        <w:snapToGrid/>
        <w:spacing w:line="360" w:lineRule="auto"/>
        <w:ind w:left="4410" w:hanging="5040" w:hangingChars="2100"/>
        <w:textAlignment w:val="auto"/>
        <w:rPr>
          <w:rFonts w:hint="eastAsia" w:ascii="宋体" w:hAnsi="宋体"/>
          <w:sz w:val="24"/>
          <w:szCs w:val="24"/>
        </w:rPr>
      </w:pPr>
      <w:r>
        <w:rPr>
          <w:rFonts w:hint="eastAsia" w:ascii="宋体" w:hAnsi="宋体"/>
          <w:sz w:val="24"/>
          <w:szCs w:val="24"/>
        </w:rPr>
        <w:t xml:space="preserve">法定代表人（签字或盖章）：              </w:t>
      </w:r>
      <w:r>
        <w:rPr>
          <w:rFonts w:hint="eastAsia" w:ascii="宋体" w:hAnsi="宋体"/>
          <w:sz w:val="24"/>
          <w:szCs w:val="24"/>
          <w:lang w:val="en-US" w:eastAsia="zh-CN"/>
        </w:rPr>
        <w:t xml:space="preserve"> </w:t>
      </w:r>
      <w:r>
        <w:rPr>
          <w:rFonts w:hint="eastAsia" w:ascii="宋体" w:hAnsi="宋体"/>
          <w:sz w:val="24"/>
          <w:szCs w:val="24"/>
        </w:rPr>
        <w:t>法定代表人</w:t>
      </w:r>
      <w:r>
        <w:rPr>
          <w:rFonts w:hint="eastAsia" w:ascii="宋体" w:hAnsi="宋体" w:eastAsia="宋体" w:cs="Times New Roman"/>
          <w:sz w:val="24"/>
          <w:szCs w:val="24"/>
        </w:rPr>
        <w:t>（签字或盖章）</w:t>
      </w:r>
      <w:r>
        <w:rPr>
          <w:rFonts w:hint="eastAsia" w:ascii="宋体" w:hAnsi="宋体"/>
          <w:sz w:val="24"/>
          <w:szCs w:val="24"/>
        </w:rPr>
        <w:t xml:space="preserve">：                                                          </w:t>
      </w:r>
    </w:p>
    <w:p w14:paraId="2DBC38BA">
      <w:pPr>
        <w:keepNext w:val="0"/>
        <w:keepLines w:val="0"/>
        <w:pageBreakBefore w:val="0"/>
        <w:widowControl w:val="0"/>
        <w:tabs>
          <w:tab w:val="left" w:pos="480"/>
        </w:tabs>
        <w:suppressAutoHyphens/>
        <w:kinsoku/>
        <w:wordWrap/>
        <w:overflowPunct/>
        <w:topLinePunct w:val="0"/>
        <w:autoSpaceDE/>
        <w:autoSpaceDN/>
        <w:bidi w:val="0"/>
        <w:adjustRightInd/>
        <w:snapToGrid/>
        <w:spacing w:line="360" w:lineRule="auto"/>
        <w:ind w:firstLine="4800" w:firstLineChars="2000"/>
        <w:textAlignment w:val="auto"/>
        <w:rPr>
          <w:rFonts w:hint="eastAsia" w:ascii="宋体" w:hAnsi="宋体"/>
          <w:sz w:val="24"/>
          <w:szCs w:val="24"/>
        </w:rPr>
      </w:pPr>
      <w:r>
        <w:rPr>
          <w:rFonts w:hint="eastAsia" w:ascii="宋体" w:hAnsi="宋体"/>
          <w:sz w:val="24"/>
          <w:szCs w:val="24"/>
        </w:rPr>
        <w:t>开户银行：</w:t>
      </w:r>
    </w:p>
    <w:p w14:paraId="236BD00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0" w:firstLineChars="2000"/>
        <w:textAlignment w:val="auto"/>
        <w:rPr>
          <w:rFonts w:hint="eastAsia" w:ascii="宋体" w:hAnsi="宋体"/>
          <w:sz w:val="24"/>
          <w:szCs w:val="24"/>
        </w:rPr>
      </w:pPr>
      <w:r>
        <w:rPr>
          <w:rFonts w:hint="eastAsia" w:ascii="宋体" w:hAnsi="宋体"/>
          <w:sz w:val="24"/>
          <w:szCs w:val="24"/>
        </w:rPr>
        <w:t xml:space="preserve">帐  号：     </w:t>
      </w:r>
    </w:p>
    <w:p w14:paraId="73EFBDC0">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default" w:ascii="宋体" w:hAnsi="宋体" w:eastAsia="宋体"/>
          <w:sz w:val="24"/>
          <w:szCs w:val="24"/>
          <w:lang w:val="en-US" w:eastAsia="zh-CN"/>
        </w:rPr>
      </w:pPr>
      <w:r>
        <w:rPr>
          <w:rFonts w:hint="eastAsia" w:ascii="宋体" w:hAnsi="宋体"/>
          <w:sz w:val="24"/>
          <w:szCs w:val="24"/>
        </w:rPr>
        <w:t>联系电话：</w:t>
      </w:r>
      <w:r>
        <w:rPr>
          <w:rFonts w:hint="eastAsia" w:ascii="宋体" w:hAnsi="宋体"/>
          <w:sz w:val="24"/>
          <w:szCs w:val="24"/>
          <w:lang w:val="en-US" w:eastAsia="zh-CN"/>
        </w:rPr>
        <w:t xml:space="preserve">            </w:t>
      </w:r>
      <w:r>
        <w:rPr>
          <w:rFonts w:hint="eastAsia" w:ascii="宋体" w:hAnsi="宋体"/>
          <w:sz w:val="24"/>
          <w:szCs w:val="24"/>
        </w:rPr>
        <w:t xml:space="preserve">                  联系电话：</w:t>
      </w:r>
    </w:p>
    <w:p w14:paraId="290CCBAA">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宋体" w:hAnsi="宋体"/>
          <w:sz w:val="24"/>
          <w:szCs w:val="24"/>
        </w:rPr>
      </w:pPr>
      <w:r>
        <w:rPr>
          <w:rFonts w:hint="eastAsia" w:ascii="宋体" w:hAnsi="宋体"/>
          <w:sz w:val="24"/>
          <w:szCs w:val="24"/>
        </w:rPr>
        <w:t>签订日期：202</w:t>
      </w:r>
      <w:r>
        <w:rPr>
          <w:rFonts w:hint="eastAsia" w:ascii="宋体" w:hAnsi="宋体"/>
          <w:sz w:val="24"/>
          <w:szCs w:val="24"/>
          <w:lang w:val="en-US" w:eastAsia="zh-CN"/>
        </w:rPr>
        <w:t>5</w:t>
      </w:r>
      <w:r>
        <w:rPr>
          <w:rFonts w:hint="eastAsia" w:ascii="宋体" w:hAnsi="宋体"/>
          <w:sz w:val="24"/>
          <w:szCs w:val="24"/>
        </w:rPr>
        <w:t xml:space="preserve"> 年  月  日               签订日期：202</w:t>
      </w:r>
      <w:r>
        <w:rPr>
          <w:rFonts w:hint="eastAsia" w:ascii="宋体" w:hAnsi="宋体"/>
          <w:sz w:val="24"/>
          <w:szCs w:val="24"/>
          <w:lang w:val="en-US" w:eastAsia="zh-CN"/>
        </w:rPr>
        <w:t>5</w:t>
      </w:r>
      <w:r>
        <w:rPr>
          <w:rFonts w:hint="eastAsia" w:ascii="宋体" w:hAnsi="宋体"/>
          <w:sz w:val="24"/>
          <w:szCs w:val="24"/>
        </w:rPr>
        <w:t>年  月  日</w:t>
      </w:r>
    </w:p>
    <w:p w14:paraId="318DBB5C">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宋体" w:hAnsi="宋体"/>
          <w:sz w:val="24"/>
          <w:szCs w:val="24"/>
        </w:rPr>
      </w:pPr>
    </w:p>
    <w:p w14:paraId="1DAB3E2B">
      <w:pPr>
        <w:tabs>
          <w:tab w:val="left" w:pos="480"/>
        </w:tabs>
        <w:rPr>
          <w:rFonts w:hint="eastAsia" w:ascii="宋体" w:hAnsi="宋体"/>
          <w:szCs w:val="21"/>
        </w:rPr>
      </w:pPr>
    </w:p>
    <w:p w14:paraId="1BEF476A">
      <w:pPr>
        <w:tabs>
          <w:tab w:val="left" w:pos="480"/>
          <w:tab w:val="left" w:pos="4410"/>
        </w:tabs>
        <w:rPr>
          <w:rFonts w:hint="eastAsia" w:ascii="宋体" w:hAnsi="宋体"/>
          <w:szCs w:val="21"/>
        </w:rPr>
      </w:pPr>
    </w:p>
    <w:p w14:paraId="044D09D5">
      <w:pPr>
        <w:tabs>
          <w:tab w:val="left" w:pos="480"/>
        </w:tabs>
        <w:rPr>
          <w:rFonts w:hint="eastAsia" w:ascii="宋体" w:hAnsi="宋体"/>
          <w:szCs w:val="21"/>
        </w:rPr>
      </w:pPr>
    </w:p>
    <w:p w14:paraId="7740A1B1">
      <w:pPr>
        <w:tabs>
          <w:tab w:val="left" w:pos="480"/>
        </w:tabs>
        <w:rPr>
          <w:rFonts w:hint="eastAsia" w:ascii="宋体" w:hAnsi="宋体"/>
          <w:szCs w:val="21"/>
        </w:rPr>
      </w:pPr>
    </w:p>
    <w:p w14:paraId="6CD3367F">
      <w:pPr>
        <w:tabs>
          <w:tab w:val="left" w:pos="675"/>
        </w:tabs>
        <w:rPr>
          <w:rFonts w:hint="eastAsia" w:ascii="宋体" w:hAnsi="宋体"/>
          <w:b/>
          <w:sz w:val="32"/>
          <w:szCs w:val="32"/>
        </w:rPr>
      </w:pPr>
    </w:p>
    <w:p w14:paraId="150B47CB">
      <w:pPr>
        <w:pStyle w:val="6"/>
        <w:rPr>
          <w:rFonts w:hint="eastAsia" w:ascii="宋体" w:hAnsi="宋体"/>
          <w:b/>
          <w:sz w:val="32"/>
          <w:szCs w:val="32"/>
        </w:rPr>
      </w:pPr>
    </w:p>
    <w:p w14:paraId="6F791E4D">
      <w:pPr>
        <w:pStyle w:val="6"/>
        <w:rPr>
          <w:rFonts w:hint="eastAsia" w:ascii="宋体" w:hAnsi="宋体"/>
          <w:b/>
          <w:sz w:val="32"/>
          <w:szCs w:val="32"/>
        </w:rPr>
      </w:pPr>
    </w:p>
    <w:p w14:paraId="7EAE0416">
      <w:pPr>
        <w:pStyle w:val="6"/>
        <w:rPr>
          <w:rFonts w:hint="eastAsia" w:ascii="宋体" w:hAnsi="宋体"/>
          <w:b/>
          <w:sz w:val="32"/>
          <w:szCs w:val="32"/>
        </w:rPr>
      </w:pPr>
    </w:p>
    <w:p w14:paraId="4C20FDDE">
      <w:pPr>
        <w:pStyle w:val="6"/>
        <w:rPr>
          <w:rFonts w:hint="eastAsia" w:ascii="宋体" w:hAnsi="宋体"/>
          <w:b/>
          <w:sz w:val="32"/>
          <w:szCs w:val="32"/>
        </w:rPr>
      </w:pPr>
    </w:p>
    <w:p w14:paraId="766A9666">
      <w:pPr>
        <w:pStyle w:val="6"/>
        <w:rPr>
          <w:rFonts w:hint="eastAsia" w:ascii="宋体" w:hAnsi="宋体"/>
          <w:b/>
          <w:sz w:val="32"/>
          <w:szCs w:val="32"/>
        </w:rPr>
      </w:pPr>
    </w:p>
    <w:p w14:paraId="6E518C8F">
      <w:pPr>
        <w:pStyle w:val="6"/>
        <w:rPr>
          <w:rFonts w:hint="eastAsia" w:ascii="宋体" w:hAnsi="宋体"/>
          <w:b/>
          <w:sz w:val="32"/>
          <w:szCs w:val="32"/>
        </w:rPr>
      </w:pPr>
    </w:p>
    <w:p w14:paraId="5A7E4BF0">
      <w:pPr>
        <w:pStyle w:val="6"/>
        <w:rPr>
          <w:rFonts w:hint="eastAsia" w:ascii="宋体" w:hAnsi="宋体"/>
          <w:b/>
          <w:sz w:val="32"/>
          <w:szCs w:val="32"/>
        </w:rPr>
      </w:pPr>
    </w:p>
    <w:p w14:paraId="3CCA76B9">
      <w:pPr>
        <w:pStyle w:val="6"/>
        <w:rPr>
          <w:rFonts w:hint="eastAsia" w:ascii="宋体" w:hAnsi="宋体"/>
          <w:b/>
          <w:sz w:val="32"/>
          <w:szCs w:val="32"/>
        </w:rPr>
      </w:pPr>
    </w:p>
    <w:p w14:paraId="3F9FD4FB">
      <w:pPr>
        <w:tabs>
          <w:tab w:val="left" w:pos="675"/>
        </w:tabs>
        <w:rPr>
          <w:rFonts w:hint="eastAsia" w:ascii="宋体" w:hAnsi="宋体" w:eastAsia="宋体"/>
          <w:b/>
          <w:sz w:val="24"/>
          <w:szCs w:val="24"/>
          <w:lang w:val="en-US" w:eastAsia="zh-CN"/>
        </w:rPr>
      </w:pPr>
      <w:r>
        <w:rPr>
          <w:rFonts w:hint="eastAsia" w:ascii="宋体" w:hAnsi="宋体"/>
          <w:b/>
          <w:sz w:val="24"/>
          <w:szCs w:val="24"/>
        </w:rPr>
        <w:t>附件</w:t>
      </w:r>
      <w:r>
        <w:rPr>
          <w:rFonts w:hint="eastAsia" w:ascii="宋体" w:hAnsi="宋体"/>
          <w:b/>
          <w:sz w:val="24"/>
          <w:szCs w:val="24"/>
          <w:lang w:val="en-US" w:eastAsia="zh-CN"/>
        </w:rPr>
        <w:t>1</w:t>
      </w:r>
    </w:p>
    <w:p w14:paraId="3497F652">
      <w:pPr>
        <w:tabs>
          <w:tab w:val="left" w:pos="675"/>
        </w:tabs>
        <w:jc w:val="center"/>
        <w:rPr>
          <w:rFonts w:hint="eastAsia" w:ascii="宋体" w:hAnsi="宋体"/>
          <w:b/>
          <w:sz w:val="24"/>
          <w:szCs w:val="24"/>
        </w:rPr>
      </w:pPr>
    </w:p>
    <w:p w14:paraId="33EAB7E9">
      <w:pPr>
        <w:tabs>
          <w:tab w:val="left" w:pos="675"/>
        </w:tabs>
        <w:jc w:val="center"/>
        <w:rPr>
          <w:rFonts w:hint="eastAsia" w:ascii="宋体" w:hAnsi="宋体"/>
          <w:b/>
          <w:sz w:val="24"/>
          <w:szCs w:val="24"/>
        </w:rPr>
      </w:pPr>
      <w:r>
        <w:rPr>
          <w:b/>
          <w:sz w:val="24"/>
          <w:szCs w:val="24"/>
          <w:u w:val="single"/>
        </w:rPr>
        <w:t>采购项目</w:t>
      </w:r>
      <w:r>
        <w:rPr>
          <w:rFonts w:hint="eastAsia"/>
          <w:b/>
          <w:sz w:val="24"/>
          <w:szCs w:val="24"/>
          <w:u w:val="single"/>
          <w:lang w:val="en-US" w:eastAsia="zh-CN"/>
        </w:rPr>
        <w:t xml:space="preserve"> </w:t>
      </w:r>
      <w:r>
        <w:rPr>
          <w:rFonts w:hint="eastAsia" w:ascii="宋体" w:hAnsi="宋体"/>
          <w:b/>
          <w:sz w:val="24"/>
          <w:szCs w:val="24"/>
        </w:rPr>
        <w:t>配置清单</w:t>
      </w:r>
    </w:p>
    <w:p w14:paraId="5F1540E9">
      <w:pPr>
        <w:tabs>
          <w:tab w:val="left" w:pos="3710"/>
        </w:tabs>
        <w:jc w:val="left"/>
        <w:rPr>
          <w:rFonts w:hint="eastAsia"/>
          <w:sz w:val="24"/>
          <w:szCs w:val="24"/>
        </w:rPr>
      </w:pPr>
    </w:p>
    <w:tbl>
      <w:tblPr>
        <w:tblStyle w:val="7"/>
        <w:tblW w:w="9824"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0" w:type="dxa"/>
          <w:bottom w:w="0" w:type="dxa"/>
          <w:right w:w="0" w:type="dxa"/>
        </w:tblCellMar>
      </w:tblPr>
      <w:tblGrid>
        <w:gridCol w:w="594"/>
        <w:gridCol w:w="3143"/>
        <w:gridCol w:w="2600"/>
        <w:gridCol w:w="916"/>
        <w:gridCol w:w="1787"/>
        <w:gridCol w:w="784"/>
      </w:tblGrid>
      <w:tr w14:paraId="7A08273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cantSplit/>
          <w:trHeight w:val="90" w:hRule="atLeast"/>
          <w:jc w:val="center"/>
        </w:trPr>
        <w:tc>
          <w:tcPr>
            <w:tcW w:w="594" w:type="dxa"/>
            <w:noWrap/>
            <w:tcMar>
              <w:top w:w="20" w:type="dxa"/>
              <w:left w:w="20" w:type="dxa"/>
              <w:bottom w:w="0" w:type="dxa"/>
              <w:right w:w="20" w:type="dxa"/>
            </w:tcMar>
            <w:vAlign w:val="center"/>
          </w:tcPr>
          <w:p w14:paraId="2DAAFE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rPr>
              <w:t>序号</w:t>
            </w:r>
          </w:p>
        </w:tc>
        <w:tc>
          <w:tcPr>
            <w:tcW w:w="3143" w:type="dxa"/>
            <w:noWrap/>
            <w:tcMar>
              <w:top w:w="20" w:type="dxa"/>
              <w:left w:w="20" w:type="dxa"/>
              <w:bottom w:w="0" w:type="dxa"/>
              <w:right w:w="20" w:type="dxa"/>
            </w:tcMar>
            <w:vAlign w:val="center"/>
          </w:tcPr>
          <w:p w14:paraId="397842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货物名称</w:t>
            </w:r>
          </w:p>
        </w:tc>
        <w:tc>
          <w:tcPr>
            <w:tcW w:w="2600" w:type="dxa"/>
            <w:noWrap/>
            <w:tcMar>
              <w:top w:w="20" w:type="dxa"/>
              <w:left w:w="20" w:type="dxa"/>
              <w:bottom w:w="0" w:type="dxa"/>
              <w:right w:w="20" w:type="dxa"/>
            </w:tcMar>
            <w:vAlign w:val="center"/>
          </w:tcPr>
          <w:p w14:paraId="1DC905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规格参数</w:t>
            </w:r>
          </w:p>
        </w:tc>
        <w:tc>
          <w:tcPr>
            <w:tcW w:w="916" w:type="dxa"/>
            <w:noWrap/>
            <w:tcMar>
              <w:top w:w="20" w:type="dxa"/>
              <w:left w:w="20" w:type="dxa"/>
              <w:bottom w:w="0" w:type="dxa"/>
              <w:right w:w="20" w:type="dxa"/>
            </w:tcMar>
            <w:vAlign w:val="center"/>
          </w:tcPr>
          <w:p w14:paraId="4B7C94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数量</w:t>
            </w:r>
          </w:p>
        </w:tc>
        <w:tc>
          <w:tcPr>
            <w:tcW w:w="1787" w:type="dxa"/>
            <w:noWrap/>
            <w:tcMar>
              <w:top w:w="20" w:type="dxa"/>
              <w:left w:w="20" w:type="dxa"/>
              <w:bottom w:w="0" w:type="dxa"/>
              <w:right w:w="20" w:type="dxa"/>
            </w:tcMar>
            <w:vAlign w:val="center"/>
          </w:tcPr>
          <w:p w14:paraId="4A2B0B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原产地及制造厂名</w:t>
            </w:r>
          </w:p>
        </w:tc>
        <w:tc>
          <w:tcPr>
            <w:tcW w:w="784" w:type="dxa"/>
            <w:noWrap w:val="0"/>
            <w:vAlign w:val="center"/>
          </w:tcPr>
          <w:p w14:paraId="41921F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备注</w:t>
            </w:r>
          </w:p>
        </w:tc>
      </w:tr>
      <w:tr w14:paraId="13A1DB5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cantSplit/>
          <w:trHeight w:val="90" w:hRule="atLeast"/>
          <w:jc w:val="center"/>
        </w:trPr>
        <w:tc>
          <w:tcPr>
            <w:tcW w:w="594" w:type="dxa"/>
            <w:noWrap/>
            <w:tcMar>
              <w:top w:w="20" w:type="dxa"/>
              <w:left w:w="20" w:type="dxa"/>
              <w:bottom w:w="0" w:type="dxa"/>
              <w:right w:w="20" w:type="dxa"/>
            </w:tcMar>
            <w:vAlign w:val="center"/>
          </w:tcPr>
          <w:p w14:paraId="35F58A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rPr>
            </w:pPr>
          </w:p>
        </w:tc>
        <w:tc>
          <w:tcPr>
            <w:tcW w:w="3143" w:type="dxa"/>
            <w:noWrap/>
            <w:tcMar>
              <w:top w:w="20" w:type="dxa"/>
              <w:left w:w="20" w:type="dxa"/>
              <w:bottom w:w="0" w:type="dxa"/>
              <w:right w:w="20" w:type="dxa"/>
            </w:tcMar>
            <w:vAlign w:val="center"/>
          </w:tcPr>
          <w:p w14:paraId="72DD96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p>
        </w:tc>
        <w:tc>
          <w:tcPr>
            <w:tcW w:w="2600" w:type="dxa"/>
            <w:noWrap/>
            <w:tcMar>
              <w:top w:w="20" w:type="dxa"/>
              <w:left w:w="20" w:type="dxa"/>
              <w:bottom w:w="0" w:type="dxa"/>
              <w:right w:w="20" w:type="dxa"/>
            </w:tcMar>
            <w:vAlign w:val="center"/>
          </w:tcPr>
          <w:p w14:paraId="061740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p>
        </w:tc>
        <w:tc>
          <w:tcPr>
            <w:tcW w:w="916" w:type="dxa"/>
            <w:noWrap/>
            <w:tcMar>
              <w:top w:w="20" w:type="dxa"/>
              <w:left w:w="20" w:type="dxa"/>
              <w:bottom w:w="0" w:type="dxa"/>
              <w:right w:w="20" w:type="dxa"/>
            </w:tcMar>
            <w:vAlign w:val="center"/>
          </w:tcPr>
          <w:p w14:paraId="24D1B8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rPr>
            </w:pPr>
          </w:p>
        </w:tc>
        <w:tc>
          <w:tcPr>
            <w:tcW w:w="1787" w:type="dxa"/>
            <w:noWrap/>
            <w:tcMar>
              <w:top w:w="20" w:type="dxa"/>
              <w:left w:w="20" w:type="dxa"/>
              <w:bottom w:w="0" w:type="dxa"/>
              <w:right w:w="20" w:type="dxa"/>
            </w:tcMar>
            <w:vAlign w:val="center"/>
          </w:tcPr>
          <w:p w14:paraId="784EFE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rPr>
            </w:pPr>
          </w:p>
        </w:tc>
        <w:tc>
          <w:tcPr>
            <w:tcW w:w="784" w:type="dxa"/>
            <w:noWrap w:val="0"/>
            <w:vAlign w:val="center"/>
          </w:tcPr>
          <w:p w14:paraId="38108D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p>
        </w:tc>
      </w:tr>
      <w:tr w14:paraId="04F54FB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cantSplit/>
          <w:trHeight w:val="90" w:hRule="atLeast"/>
          <w:jc w:val="center"/>
        </w:trPr>
        <w:tc>
          <w:tcPr>
            <w:tcW w:w="594" w:type="dxa"/>
            <w:noWrap/>
            <w:tcMar>
              <w:top w:w="20" w:type="dxa"/>
              <w:left w:w="20" w:type="dxa"/>
              <w:bottom w:w="0" w:type="dxa"/>
              <w:right w:w="20" w:type="dxa"/>
            </w:tcMar>
            <w:vAlign w:val="center"/>
          </w:tcPr>
          <w:p w14:paraId="539E26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rPr>
            </w:pPr>
          </w:p>
        </w:tc>
        <w:tc>
          <w:tcPr>
            <w:tcW w:w="3143" w:type="dxa"/>
            <w:noWrap/>
            <w:tcMar>
              <w:top w:w="20" w:type="dxa"/>
              <w:left w:w="20" w:type="dxa"/>
              <w:bottom w:w="0" w:type="dxa"/>
              <w:right w:w="20" w:type="dxa"/>
            </w:tcMar>
            <w:vAlign w:val="center"/>
          </w:tcPr>
          <w:p w14:paraId="4BC137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p>
        </w:tc>
        <w:tc>
          <w:tcPr>
            <w:tcW w:w="2600" w:type="dxa"/>
            <w:noWrap/>
            <w:tcMar>
              <w:top w:w="20" w:type="dxa"/>
              <w:left w:w="20" w:type="dxa"/>
              <w:bottom w:w="0" w:type="dxa"/>
              <w:right w:w="20" w:type="dxa"/>
            </w:tcMar>
            <w:vAlign w:val="center"/>
          </w:tcPr>
          <w:p w14:paraId="4468C4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p>
        </w:tc>
        <w:tc>
          <w:tcPr>
            <w:tcW w:w="916" w:type="dxa"/>
            <w:noWrap/>
            <w:tcMar>
              <w:top w:w="20" w:type="dxa"/>
              <w:left w:w="20" w:type="dxa"/>
              <w:bottom w:w="0" w:type="dxa"/>
              <w:right w:w="20" w:type="dxa"/>
            </w:tcMar>
            <w:vAlign w:val="center"/>
          </w:tcPr>
          <w:p w14:paraId="5AD66D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rPr>
            </w:pPr>
          </w:p>
        </w:tc>
        <w:tc>
          <w:tcPr>
            <w:tcW w:w="1787" w:type="dxa"/>
            <w:noWrap/>
            <w:tcMar>
              <w:top w:w="20" w:type="dxa"/>
              <w:left w:w="20" w:type="dxa"/>
              <w:bottom w:w="0" w:type="dxa"/>
              <w:right w:w="20" w:type="dxa"/>
            </w:tcMar>
            <w:vAlign w:val="center"/>
          </w:tcPr>
          <w:p w14:paraId="1EFAF3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rPr>
            </w:pPr>
          </w:p>
        </w:tc>
        <w:tc>
          <w:tcPr>
            <w:tcW w:w="784" w:type="dxa"/>
            <w:noWrap w:val="0"/>
            <w:vAlign w:val="center"/>
          </w:tcPr>
          <w:p w14:paraId="1A9C23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lang w:eastAsia="zh-CN"/>
              </w:rPr>
            </w:pPr>
          </w:p>
        </w:tc>
      </w:tr>
    </w:tbl>
    <w:p w14:paraId="207F28E0">
      <w:pPr>
        <w:pStyle w:val="4"/>
        <w:rPr>
          <w:rFonts w:hint="eastAsia"/>
          <w:sz w:val="24"/>
          <w:szCs w:val="24"/>
        </w:rPr>
      </w:pPr>
    </w:p>
    <w:p w14:paraId="6A41CDFF">
      <w:pPr>
        <w:rPr>
          <w:rFonts w:hint="eastAsia" w:ascii="宋体" w:hAnsi="宋体"/>
          <w:b/>
          <w:sz w:val="24"/>
          <w:szCs w:val="24"/>
        </w:rPr>
      </w:pPr>
      <w:r>
        <w:rPr>
          <w:rFonts w:hint="eastAsia" w:ascii="宋体" w:hAnsi="宋体"/>
          <w:b/>
          <w:sz w:val="24"/>
          <w:szCs w:val="24"/>
        </w:rPr>
        <w:br w:type="page"/>
      </w:r>
    </w:p>
    <w:p w14:paraId="5B3D15E9">
      <w:pPr>
        <w:tabs>
          <w:tab w:val="left" w:pos="675"/>
        </w:tabs>
        <w:rPr>
          <w:rFonts w:hint="eastAsia" w:ascii="宋体" w:hAnsi="宋体"/>
          <w:b/>
          <w:sz w:val="24"/>
          <w:szCs w:val="24"/>
          <w:lang w:val="en-US" w:eastAsia="zh-CN"/>
        </w:rPr>
      </w:pPr>
      <w:r>
        <w:rPr>
          <w:rFonts w:hint="eastAsia" w:ascii="宋体" w:hAnsi="宋体"/>
          <w:b/>
          <w:sz w:val="24"/>
          <w:szCs w:val="24"/>
        </w:rPr>
        <w:t>附件</w:t>
      </w:r>
      <w:r>
        <w:rPr>
          <w:rFonts w:hint="eastAsia" w:ascii="宋体" w:hAnsi="宋体"/>
          <w:b/>
          <w:sz w:val="24"/>
          <w:szCs w:val="24"/>
          <w:lang w:val="en-US" w:eastAsia="zh-CN"/>
        </w:rPr>
        <w:t>2</w:t>
      </w:r>
    </w:p>
    <w:p w14:paraId="5F609FCF">
      <w:pPr>
        <w:tabs>
          <w:tab w:val="left" w:pos="675"/>
        </w:tabs>
        <w:jc w:val="center"/>
        <w:rPr>
          <w:rFonts w:hint="eastAsia" w:ascii="宋体" w:hAnsi="宋体"/>
          <w:b/>
          <w:sz w:val="24"/>
          <w:szCs w:val="24"/>
          <w:lang w:val="en-US" w:eastAsia="zh-CN"/>
        </w:rPr>
      </w:pPr>
      <w:r>
        <w:rPr>
          <w:rFonts w:hint="eastAsia" w:ascii="宋体" w:hAnsi="宋体"/>
          <w:b/>
          <w:sz w:val="24"/>
          <w:szCs w:val="24"/>
          <w:lang w:val="en-US" w:eastAsia="zh-CN"/>
        </w:rPr>
        <w:t>技术参数说明</w:t>
      </w:r>
    </w:p>
    <w:p w14:paraId="6E9E29C5">
      <w:pPr>
        <w:rPr>
          <w:rFonts w:hint="eastAsia" w:ascii="仿宋_GB2312" w:hAnsi="仿宋" w:eastAsia="仿宋_GB2312"/>
          <w:b/>
          <w:sz w:val="24"/>
          <w:szCs w:val="24"/>
        </w:rPr>
      </w:pPr>
      <w:r>
        <w:rPr>
          <w:rFonts w:hint="eastAsia" w:ascii="仿宋_GB2312" w:hAnsi="仿宋" w:eastAsia="仿宋_GB2312"/>
          <w:b/>
          <w:sz w:val="24"/>
          <w:szCs w:val="24"/>
        </w:rPr>
        <w:br w:type="page"/>
      </w:r>
    </w:p>
    <w:p w14:paraId="6034042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32"/>
          <w:szCs w:val="32"/>
        </w:rPr>
      </w:pPr>
      <w:r>
        <w:rPr>
          <w:rFonts w:hint="eastAsia" w:ascii="宋体" w:hAnsi="宋体" w:eastAsia="宋体" w:cs="宋体"/>
          <w:b/>
          <w:sz w:val="32"/>
          <w:szCs w:val="32"/>
        </w:rPr>
        <w:t>西安市政府采购供应商</w:t>
      </w:r>
    </w:p>
    <w:p w14:paraId="4982319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sz w:val="32"/>
          <w:szCs w:val="32"/>
        </w:rPr>
      </w:pPr>
      <w:r>
        <w:rPr>
          <w:rFonts w:hint="eastAsia" w:ascii="宋体" w:hAnsi="宋体" w:eastAsia="宋体" w:cs="宋体"/>
          <w:b/>
          <w:sz w:val="32"/>
          <w:szCs w:val="32"/>
        </w:rPr>
        <w:t>拒绝政府采购领域商业贿赂承诺书</w:t>
      </w:r>
    </w:p>
    <w:p w14:paraId="7ADFAC2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 w:eastAsia="仿宋_GB2312"/>
          <w:sz w:val="24"/>
          <w:szCs w:val="24"/>
        </w:rPr>
      </w:pPr>
    </w:p>
    <w:p w14:paraId="5051B8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b/>
          <w:sz w:val="24"/>
          <w:szCs w:val="24"/>
        </w:rPr>
      </w:pPr>
      <w:r>
        <w:rPr>
          <w:rFonts w:hint="eastAsia" w:ascii="宋体" w:hAnsi="宋体"/>
          <w:sz w:val="24"/>
          <w:szCs w:val="24"/>
        </w:rPr>
        <w:t>为响应党中央、国务院关于治理政府采购领域商业贿赂行为的号召，我公司在此承诺：</w:t>
      </w:r>
    </w:p>
    <w:p w14:paraId="6461B5A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sz w:val="24"/>
          <w:szCs w:val="24"/>
        </w:rPr>
      </w:pPr>
      <w:r>
        <w:rPr>
          <w:rFonts w:hint="eastAsia" w:ascii="宋体" w:hAnsi="宋体"/>
          <w:sz w:val="24"/>
          <w:szCs w:val="24"/>
        </w:rPr>
        <w:t>一、在参与政府采购活动中遵纪守法、诚信经营、公平竞标。</w:t>
      </w:r>
    </w:p>
    <w:p w14:paraId="77DD0D7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b/>
          <w:sz w:val="24"/>
          <w:szCs w:val="24"/>
        </w:rPr>
      </w:pPr>
      <w:r>
        <w:rPr>
          <w:rFonts w:hint="eastAsia" w:ascii="宋体" w:hAnsi="宋体"/>
          <w:sz w:val="24"/>
          <w:szCs w:val="24"/>
        </w:rPr>
        <w:t>二、不向政府采购人、采购代理机构和政府采购评审专家进行任何形式的商业贿赂以谋取交易机会。</w:t>
      </w:r>
    </w:p>
    <w:p w14:paraId="1DD952B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b/>
          <w:sz w:val="24"/>
          <w:szCs w:val="24"/>
        </w:rPr>
      </w:pPr>
      <w:r>
        <w:rPr>
          <w:rFonts w:hint="eastAsia" w:ascii="宋体" w:hAnsi="宋体"/>
          <w:sz w:val="24"/>
          <w:szCs w:val="24"/>
        </w:rPr>
        <w:t>三、不向政府采购代理机构和采购人提供虚假资质文件或采用虚假应标方式参与政府采购市场竞争并谋取中标、成交。</w:t>
      </w:r>
    </w:p>
    <w:p w14:paraId="6C1622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sz w:val="24"/>
          <w:szCs w:val="24"/>
        </w:rPr>
      </w:pPr>
      <w:r>
        <w:rPr>
          <w:rFonts w:hint="eastAsia" w:ascii="宋体" w:hAnsi="宋体"/>
          <w:sz w:val="24"/>
          <w:szCs w:val="24"/>
        </w:rPr>
        <w:t>四、不采取“围标、陪标”等商业欺诈手段获取政府采购订单；</w:t>
      </w:r>
    </w:p>
    <w:p w14:paraId="7F84B7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b/>
          <w:sz w:val="24"/>
          <w:szCs w:val="24"/>
        </w:rPr>
      </w:pPr>
      <w:r>
        <w:rPr>
          <w:rFonts w:hint="eastAsia" w:ascii="宋体" w:hAnsi="宋体"/>
          <w:sz w:val="24"/>
          <w:szCs w:val="24"/>
        </w:rPr>
        <w:t>五、不采取不正当手段诋毁、排挤其他供应商。</w:t>
      </w:r>
    </w:p>
    <w:p w14:paraId="7B5C5C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b/>
          <w:sz w:val="24"/>
          <w:szCs w:val="24"/>
        </w:rPr>
      </w:pPr>
      <w:r>
        <w:rPr>
          <w:rFonts w:hint="eastAsia" w:ascii="宋体" w:hAnsi="宋体"/>
          <w:sz w:val="24"/>
          <w:szCs w:val="24"/>
        </w:rPr>
        <w:t>六、不在提供商品和服务时“偷梁换柱、以次充好”损害采购人的合法权益。</w:t>
      </w:r>
    </w:p>
    <w:p w14:paraId="0CA6891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b/>
          <w:sz w:val="24"/>
          <w:szCs w:val="24"/>
        </w:rPr>
      </w:pPr>
      <w:r>
        <w:rPr>
          <w:rFonts w:hint="eastAsia" w:ascii="宋体" w:hAnsi="宋体"/>
          <w:sz w:val="24"/>
          <w:szCs w:val="24"/>
        </w:rPr>
        <w:t>七、不与采购人、采购代理机构、政府采购评审专家或其他供应商恶意串通，进行质疑和投诉，维护政府采购市场秩序。</w:t>
      </w:r>
    </w:p>
    <w:p w14:paraId="48CF35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b/>
          <w:sz w:val="24"/>
          <w:szCs w:val="24"/>
        </w:rPr>
      </w:pPr>
      <w:r>
        <w:rPr>
          <w:rFonts w:hint="eastAsia" w:ascii="宋体" w:hAnsi="宋体"/>
          <w:sz w:val="24"/>
          <w:szCs w:val="24"/>
        </w:rPr>
        <w:t>八、尊重和接受政府采购监督管理部门的监督和政府采购代理机构招标采购要求，承担因违约行为给采购人造成的损失。</w:t>
      </w:r>
    </w:p>
    <w:p w14:paraId="7514F23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b/>
          <w:sz w:val="24"/>
          <w:szCs w:val="24"/>
        </w:rPr>
      </w:pPr>
      <w:r>
        <w:rPr>
          <w:rFonts w:hint="eastAsia" w:ascii="宋体" w:hAnsi="宋体"/>
          <w:sz w:val="24"/>
          <w:szCs w:val="24"/>
        </w:rPr>
        <w:t>九、不发生其他有悖于政府采购公开、公平、公正和诚信原则的行为。</w:t>
      </w:r>
    </w:p>
    <w:p w14:paraId="74A28710">
      <w:pPr>
        <w:keepNext w:val="0"/>
        <w:keepLines w:val="0"/>
        <w:pageBreakBefore w:val="0"/>
        <w:widowControl w:val="0"/>
        <w:kinsoku/>
        <w:wordWrap/>
        <w:overflowPunct/>
        <w:topLinePunct w:val="0"/>
        <w:autoSpaceDE/>
        <w:autoSpaceDN/>
        <w:bidi w:val="0"/>
        <w:adjustRightInd/>
        <w:snapToGrid w:val="0"/>
        <w:spacing w:line="360" w:lineRule="auto"/>
        <w:ind w:left="482"/>
        <w:textAlignment w:val="auto"/>
        <w:rPr>
          <w:rFonts w:hint="eastAsia" w:ascii="宋体" w:hAnsi="宋体"/>
          <w:sz w:val="24"/>
          <w:szCs w:val="24"/>
        </w:rPr>
      </w:pPr>
      <w:r>
        <w:rPr>
          <w:rFonts w:hint="eastAsia" w:ascii="宋体" w:hAnsi="宋体"/>
          <w:sz w:val="24"/>
          <w:szCs w:val="24"/>
        </w:rPr>
        <w:t>承诺单位：（盖章）</w:t>
      </w:r>
    </w:p>
    <w:p w14:paraId="212FC0F3">
      <w:pPr>
        <w:keepNext w:val="0"/>
        <w:keepLines w:val="0"/>
        <w:pageBreakBefore w:val="0"/>
        <w:widowControl w:val="0"/>
        <w:kinsoku/>
        <w:wordWrap/>
        <w:overflowPunct/>
        <w:topLinePunct w:val="0"/>
        <w:autoSpaceDE/>
        <w:autoSpaceDN/>
        <w:bidi w:val="0"/>
        <w:adjustRightInd/>
        <w:snapToGrid w:val="0"/>
        <w:spacing w:line="360" w:lineRule="auto"/>
        <w:ind w:left="482"/>
        <w:textAlignment w:val="auto"/>
        <w:rPr>
          <w:rFonts w:hint="eastAsia" w:ascii="宋体" w:hAnsi="宋体"/>
          <w:sz w:val="24"/>
          <w:szCs w:val="24"/>
        </w:rPr>
      </w:pPr>
      <w:r>
        <w:rPr>
          <w:rFonts w:hint="eastAsia" w:ascii="宋体" w:hAnsi="宋体"/>
          <w:bCs/>
          <w:sz w:val="24"/>
          <w:szCs w:val="24"/>
        </w:rPr>
        <w:t>法定代表人或被授权人</w:t>
      </w:r>
      <w:r>
        <w:rPr>
          <w:rFonts w:hint="eastAsia" w:ascii="宋体" w:hAnsi="宋体"/>
          <w:sz w:val="24"/>
          <w:szCs w:val="24"/>
        </w:rPr>
        <w:t>：（签字或盖章）</w:t>
      </w:r>
    </w:p>
    <w:p w14:paraId="3F14F1B0">
      <w:pPr>
        <w:keepNext w:val="0"/>
        <w:keepLines w:val="0"/>
        <w:pageBreakBefore w:val="0"/>
        <w:widowControl w:val="0"/>
        <w:kinsoku/>
        <w:wordWrap/>
        <w:overflowPunct/>
        <w:topLinePunct w:val="0"/>
        <w:autoSpaceDE/>
        <w:autoSpaceDN/>
        <w:bidi w:val="0"/>
        <w:adjustRightInd/>
        <w:snapToGrid w:val="0"/>
        <w:spacing w:line="360" w:lineRule="auto"/>
        <w:ind w:left="482"/>
        <w:textAlignment w:val="auto"/>
        <w:rPr>
          <w:rFonts w:hint="eastAsia" w:ascii="宋体" w:hAnsi="宋体"/>
          <w:sz w:val="24"/>
          <w:szCs w:val="24"/>
        </w:rPr>
      </w:pPr>
      <w:r>
        <w:rPr>
          <w:rFonts w:hint="eastAsia" w:ascii="宋体" w:hAnsi="宋体"/>
          <w:sz w:val="24"/>
          <w:szCs w:val="24"/>
        </w:rPr>
        <w:t xml:space="preserve">地址：                           </w:t>
      </w:r>
    </w:p>
    <w:p w14:paraId="6C597D17">
      <w:pPr>
        <w:keepNext w:val="0"/>
        <w:keepLines w:val="0"/>
        <w:pageBreakBefore w:val="0"/>
        <w:widowControl w:val="0"/>
        <w:kinsoku/>
        <w:wordWrap/>
        <w:overflowPunct/>
        <w:topLinePunct w:val="0"/>
        <w:autoSpaceDE/>
        <w:autoSpaceDN/>
        <w:bidi w:val="0"/>
        <w:adjustRightInd/>
        <w:snapToGrid w:val="0"/>
        <w:spacing w:line="360" w:lineRule="auto"/>
        <w:ind w:left="482"/>
        <w:textAlignment w:val="auto"/>
        <w:rPr>
          <w:rFonts w:hint="eastAsia" w:ascii="宋体" w:hAnsi="宋体"/>
          <w:sz w:val="24"/>
          <w:szCs w:val="24"/>
        </w:rPr>
      </w:pPr>
      <w:r>
        <w:rPr>
          <w:rFonts w:hint="eastAsia" w:ascii="宋体" w:hAnsi="宋体"/>
          <w:sz w:val="24"/>
          <w:szCs w:val="24"/>
        </w:rPr>
        <w:t xml:space="preserve">电话：   </w:t>
      </w:r>
    </w:p>
    <w:p w14:paraId="62AFD5A0">
      <w:pPr>
        <w:keepNext w:val="0"/>
        <w:keepLines w:val="0"/>
        <w:pageBreakBefore w:val="0"/>
        <w:widowControl w:val="0"/>
        <w:kinsoku/>
        <w:wordWrap/>
        <w:overflowPunct/>
        <w:topLinePunct w:val="0"/>
        <w:autoSpaceDE/>
        <w:autoSpaceDN/>
        <w:bidi w:val="0"/>
        <w:adjustRightInd/>
        <w:snapToGrid w:val="0"/>
        <w:spacing w:line="360" w:lineRule="auto"/>
        <w:ind w:left="482"/>
        <w:textAlignment w:val="auto"/>
        <w:rPr>
          <w:rFonts w:hint="eastAsia" w:ascii="宋体" w:hAnsi="宋体"/>
          <w:sz w:val="24"/>
          <w:szCs w:val="24"/>
        </w:rPr>
      </w:pPr>
      <w:r>
        <w:rPr>
          <w:rFonts w:hint="eastAsia" w:ascii="宋体" w:hAnsi="宋体"/>
          <w:sz w:val="24"/>
          <w:szCs w:val="24"/>
        </w:rPr>
        <w:t xml:space="preserve">邮编：                                  </w:t>
      </w:r>
    </w:p>
    <w:p w14:paraId="1BA24361">
      <w:pPr>
        <w:keepNext w:val="0"/>
        <w:keepLines w:val="0"/>
        <w:pageBreakBefore w:val="0"/>
        <w:widowControl w:val="0"/>
        <w:tabs>
          <w:tab w:val="left" w:pos="5875"/>
        </w:tabs>
        <w:kinsoku/>
        <w:wordWrap/>
        <w:overflowPunct/>
        <w:topLinePunct w:val="0"/>
        <w:autoSpaceDE/>
        <w:autoSpaceDN/>
        <w:bidi w:val="0"/>
        <w:adjustRightInd/>
        <w:spacing w:line="360" w:lineRule="auto"/>
        <w:textAlignment w:val="auto"/>
        <w:rPr>
          <w:sz w:val="24"/>
          <w:szCs w:val="24"/>
        </w:rPr>
      </w:pPr>
      <w:r>
        <w:rPr>
          <w:rFonts w:ascii="宋体" w:hAnsi="宋体"/>
          <w:sz w:val="24"/>
          <w:szCs w:val="24"/>
        </w:rPr>
        <w:tab/>
      </w:r>
      <w:r>
        <w:rPr>
          <w:rFonts w:hint="eastAsia" w:ascii="宋体" w:hAnsi="宋体"/>
          <w:sz w:val="24"/>
          <w:szCs w:val="24"/>
          <w:lang w:val="en-US" w:eastAsia="zh-CN"/>
        </w:rPr>
        <w:t>2025</w:t>
      </w:r>
      <w:r>
        <w:rPr>
          <w:rFonts w:hint="eastAsia" w:ascii="宋体" w:hAnsi="宋体"/>
          <w:sz w:val="24"/>
          <w:szCs w:val="24"/>
        </w:rPr>
        <w:t>年</w:t>
      </w:r>
      <w:r>
        <w:rPr>
          <w:rFonts w:hint="eastAsia" w:ascii="宋体" w:hAnsi="宋体"/>
          <w:sz w:val="24"/>
          <w:szCs w:val="24"/>
          <w:lang w:val="en-US" w:eastAsia="zh-CN"/>
        </w:rPr>
        <w:t>x月x日</w:t>
      </w:r>
    </w:p>
    <w:p w14:paraId="120EA227">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lang w:val="en-US" w:eastAsia="zh-Hans"/>
        </w:rPr>
      </w:pPr>
    </w:p>
    <w:p w14:paraId="7A70D561"/>
    <w:sectPr>
      <w:footerReference r:id="rId3" w:type="default"/>
      <w:pgSz w:w="11906" w:h="16838"/>
      <w:pgMar w:top="1440" w:right="1417" w:bottom="1440" w:left="141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DCADD">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237543">
                          <w:pPr>
                            <w:pStyle w:val="4"/>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A237543">
                    <w:pPr>
                      <w:pStyle w:val="4"/>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2A057345"/>
    <w:rsid w:val="33BC7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3">
    <w:name w:val="Body Text Indent"/>
    <w:basedOn w:val="1"/>
    <w:qFormat/>
    <w:uiPriority w:val="0"/>
    <w:pPr>
      <w:adjustRightInd w:val="0"/>
      <w:snapToGrid w:val="0"/>
      <w:spacing w:line="360" w:lineRule="auto"/>
      <w:ind w:firstLine="480" w:firstLineChars="200"/>
    </w:pPr>
  </w:style>
  <w:style w:type="paragraph" w:styleId="4">
    <w:name w:val="footer"/>
    <w:basedOn w:val="1"/>
    <w:next w:val="2"/>
    <w:unhideWhenUsed/>
    <w:qFormat/>
    <w:uiPriority w:val="99"/>
    <w:pPr>
      <w:tabs>
        <w:tab w:val="center" w:pos="4153"/>
        <w:tab w:val="right" w:pos="8306"/>
      </w:tabs>
      <w:snapToGrid w:val="0"/>
      <w:jc w:val="left"/>
    </w:pPr>
    <w:rPr>
      <w:sz w:val="18"/>
      <w:szCs w:val="18"/>
    </w:rPr>
  </w:style>
  <w:style w:type="paragraph" w:styleId="5">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6">
    <w:name w:val="Body Text First Indent 2"/>
    <w:basedOn w:val="3"/>
    <w:qFormat/>
    <w:uiPriority w:val="0"/>
    <w:pPr>
      <w:ind w:firstLine="420"/>
    </w:pPr>
  </w:style>
  <w:style w:type="character" w:styleId="9">
    <w:name w:val="Hyperlink"/>
    <w:basedOn w:val="8"/>
    <w:qFormat/>
    <w:uiPriority w:val="0"/>
    <w:rPr>
      <w:color w:val="0000FF"/>
      <w:u w:val="single"/>
    </w:rPr>
  </w:style>
  <w:style w:type="paragraph" w:customStyle="1" w:styleId="10">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11">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Normal_38"/>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2025-08-12T02:14:00Z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