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版本号：ZHPM-ZC-2513120250812001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西安市中小学教师及校园长教学管理干部教学改革创新能力提升培训项目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ZHPM-ZC-25131</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西安市中小学教师及校园长教学管理干部教学改革创新能力提升培训项目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西安市中小学教师及校园长教学管理干部教学改革创新能力提升培训项目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基础教育课程教学改革深化行动方案》要求，为助力学校育人“施工图”的搭建，强化学校教学管理者将国家课程方案转化为学校课程实施规划的核心能力，重点在学校课程体系规划与实施、课堂教学改革与评价转变、教师专业发展引领与资源统筹整合等领域实现突破，为推动学校教学质量提升筑牢专业化智力支撑。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采购包1（西安市中小学教师及校园长教学管理干部教学改革创新能力提升培训项目）：属于专门面向中小企业采购。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杨小倩、赵敏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代理服务费收费标准：以政府采购项目中标（成交）金额作为代理服务费计费基数，参照“发改办价格[2003]857号”及“计价格[2002]1980号”文件规定的计费标准收取代理服务费。 银行户名：中昊项目管理有限公司 开户银行：中国民生银行股份有限公司西安枫林绿洲支行账号：160927203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联系人：杨小倩、赵敏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基础教育课程教学改革深化行动方案》要求，为助力学校育人“施工图”的搭建，强化学校教学管理者将国家课程方案转化为学校课程实施规划的核心能力，重点在学校课程体系规划与实施、课堂教学改革与评价转变、教师专业发展引领与资源统筹整合等领域实现突破，为推动学校教学质量提升筑牢专业化智力支撑。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西安市中小学教师及校园长教学管理干部教学改革创新能力提升培训项目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标的名称：西安市中小学教师及校园长教学管理干部教学改革创新能力提升培训项目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一、基本情况</w:t>
            </w:r>
          </w:p>
          <w:p>
            <w:pPr>
              <w:pStyle w:val="null3"/>
              <w:ind w:firstLine="480"/>
              <w:jc w:val="both"/>
            </w:pPr>
            <w:r>
              <w:rPr>
                <w:rFonts w:ascii="仿宋_GB2312" w:hAnsi="仿宋_GB2312" w:cs="仿宋_GB2312" w:eastAsia="仿宋_GB2312"/>
                <w:sz w:val="24"/>
              </w:rPr>
              <w:t>项目名称：西安市中小学教师及校园长教学管理干部教学改革创新能力提升培训项目</w:t>
            </w:r>
          </w:p>
          <w:p>
            <w:pPr>
              <w:pStyle w:val="null3"/>
              <w:ind w:firstLine="480"/>
              <w:jc w:val="both"/>
            </w:pPr>
            <w:r>
              <w:rPr>
                <w:rFonts w:ascii="仿宋_GB2312" w:hAnsi="仿宋_GB2312" w:cs="仿宋_GB2312" w:eastAsia="仿宋_GB2312"/>
                <w:sz w:val="24"/>
              </w:rPr>
              <w:t>预算金额：56万</w:t>
            </w:r>
          </w:p>
          <w:p>
            <w:pPr>
              <w:pStyle w:val="null3"/>
              <w:jc w:val="both"/>
            </w:pPr>
            <w:r>
              <w:rPr>
                <w:rFonts w:ascii="仿宋_GB2312" w:hAnsi="仿宋_GB2312" w:cs="仿宋_GB2312" w:eastAsia="仿宋_GB2312"/>
                <w:sz w:val="24"/>
              </w:rPr>
              <w:t>二、项目实施背景和依据</w:t>
            </w:r>
          </w:p>
          <w:p>
            <w:pPr>
              <w:pStyle w:val="null3"/>
              <w:ind w:firstLine="480"/>
              <w:jc w:val="both"/>
            </w:pPr>
            <w:r>
              <w:rPr>
                <w:rFonts w:ascii="仿宋_GB2312" w:hAnsi="仿宋_GB2312" w:cs="仿宋_GB2312" w:eastAsia="仿宋_GB2312"/>
                <w:sz w:val="24"/>
              </w:rPr>
              <w:t>依据《基础教育课程教学改革深化行动方案》要求，为助力学校育人“施工图”的搭建，强化学校教学管理者将国家课程方案转化为学校课程实施规划的核心能力，重点在学校课程体系规划与实施、课堂教学改革与评价转变、教师专业发展引领与资源统筹整合等领域实现突破，为推动学校教学质量提升筑牢专业化智力支撑。</w:t>
            </w:r>
          </w:p>
          <w:p>
            <w:pPr>
              <w:pStyle w:val="null3"/>
              <w:ind w:firstLine="480"/>
              <w:jc w:val="both"/>
            </w:pPr>
            <w:r>
              <w:rPr>
                <w:rFonts w:ascii="仿宋_GB2312" w:hAnsi="仿宋_GB2312" w:cs="仿宋_GB2312" w:eastAsia="仿宋_GB2312"/>
                <w:sz w:val="24"/>
              </w:rPr>
              <w:t>培训对象的遴选由西安市教育局下发通知，区县和市直属单位负责具体安排和落实。</w:t>
            </w:r>
          </w:p>
          <w:p>
            <w:pPr>
              <w:pStyle w:val="null3"/>
              <w:jc w:val="both"/>
            </w:pPr>
            <w:r>
              <w:rPr>
                <w:rFonts w:ascii="仿宋_GB2312" w:hAnsi="仿宋_GB2312" w:cs="仿宋_GB2312" w:eastAsia="仿宋_GB2312"/>
                <w:sz w:val="24"/>
              </w:rPr>
              <w:t>三、项目经费预算</w:t>
            </w:r>
          </w:p>
          <w:p>
            <w:pPr>
              <w:pStyle w:val="null3"/>
              <w:ind w:firstLine="480"/>
              <w:jc w:val="both"/>
            </w:pPr>
            <w:r>
              <w:rPr>
                <w:rFonts w:ascii="仿宋_GB2312" w:hAnsi="仿宋_GB2312" w:cs="仿宋_GB2312" w:eastAsia="仿宋_GB2312"/>
                <w:sz w:val="24"/>
              </w:rPr>
              <w:t>西安市中小学教师及校园长教学管理干部教学改革创新能力提升培训项目</w:t>
            </w:r>
          </w:p>
          <w:p>
            <w:pPr>
              <w:pStyle w:val="null3"/>
              <w:ind w:firstLine="480"/>
              <w:jc w:val="both"/>
            </w:pP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人，培训时长：</w:t>
            </w:r>
            <w:r>
              <w:rPr>
                <w:rFonts w:ascii="仿宋_GB2312" w:hAnsi="仿宋_GB2312" w:cs="仿宋_GB2312" w:eastAsia="仿宋_GB2312"/>
                <w:sz w:val="24"/>
              </w:rPr>
              <w:t>3</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合计：</w:t>
            </w:r>
            <w:r>
              <w:rPr>
                <w:rFonts w:ascii="仿宋_GB2312" w:hAnsi="仿宋_GB2312" w:cs="仿宋_GB2312" w:eastAsia="仿宋_GB2312"/>
                <w:sz w:val="24"/>
              </w:rPr>
              <w:t>560000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四、项目需求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培训对象：教学副校长、教科研主任等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日之前</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培训形式：集中培训</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培训内容：围绕深化基础教育课程教学改革的政策要求，关注教学管理干部在推进课程实施、创新课程管理、引领教科研工作、探索课堂转型的能力，从而赋能学校课程教学变革。</w:t>
            </w:r>
          </w:p>
          <w:p>
            <w:pPr>
              <w:pStyle w:val="null3"/>
              <w:jc w:val="both"/>
            </w:pPr>
            <w:r>
              <w:rPr>
                <w:rFonts w:ascii="仿宋_GB2312" w:hAnsi="仿宋_GB2312" w:cs="仿宋_GB2312" w:eastAsia="仿宋_GB2312"/>
                <w:sz w:val="24"/>
              </w:rPr>
              <w:t>五、服务要求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聚焦培训主题</w:t>
            </w:r>
          </w:p>
          <w:p>
            <w:pPr>
              <w:pStyle w:val="null3"/>
              <w:ind w:firstLine="480"/>
              <w:jc w:val="both"/>
            </w:pPr>
            <w:r>
              <w:rPr>
                <w:rFonts w:ascii="仿宋_GB2312" w:hAnsi="仿宋_GB2312" w:cs="仿宋_GB2312" w:eastAsia="仿宋_GB2312"/>
                <w:sz w:val="24"/>
              </w:rPr>
              <w:t>认真研读教育部、省教育厅等文件要求，遵循教师和校园长成长规律，以解决问题、提升能力为项目设计的出发点和落脚点，突出问题导向和成果导向，聚焦不同发展阶段教师和校园长应具备的核心素养与关键能力，分层分类构建培训课程体系，应用为本，确保教师有成长感和获得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完善教师培训内容</w:t>
            </w:r>
          </w:p>
          <w:p>
            <w:pPr>
              <w:pStyle w:val="null3"/>
              <w:ind w:firstLine="480"/>
              <w:jc w:val="both"/>
            </w:pPr>
            <w:r>
              <w:rPr>
                <w:rFonts w:ascii="仿宋_GB2312" w:hAnsi="仿宋_GB2312" w:cs="仿宋_GB2312" w:eastAsia="仿宋_GB2312"/>
                <w:sz w:val="24"/>
              </w:rPr>
              <w:t>立足西安市教师队伍建设实际，有针对性地设置培训课程，少理论、重实践，注重新课标新教材和课堂教学技能、加大一线授课专家比例。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创新教师培训模式</w:t>
            </w:r>
          </w:p>
          <w:p>
            <w:pPr>
              <w:pStyle w:val="null3"/>
              <w:ind w:firstLine="480"/>
              <w:jc w:val="both"/>
            </w:pPr>
            <w:r>
              <w:rPr>
                <w:rFonts w:ascii="仿宋_GB2312" w:hAnsi="仿宋_GB2312" w:cs="仿宋_GB2312" w:eastAsia="仿宋_GB2312"/>
                <w:sz w:val="24"/>
              </w:rPr>
              <w:t>要将互联网、大数据、虚拟现实、人工智能等新技术融合运用到培训中，实施线上培训和线下培训相结合，训前、训中和训后相统一的混合动态延伸培训新模式。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实施培训效果评估。</w:t>
            </w:r>
          </w:p>
          <w:p>
            <w:pPr>
              <w:pStyle w:val="null3"/>
              <w:ind w:firstLine="480"/>
              <w:jc w:val="both"/>
            </w:pPr>
            <w:r>
              <w:rPr>
                <w:rFonts w:ascii="仿宋_GB2312" w:hAnsi="仿宋_GB2312" w:cs="仿宋_GB2312" w:eastAsia="仿宋_GB2312"/>
                <w:sz w:val="24"/>
              </w:rPr>
              <w:t>每个项目按照要求，择优提供培训成果案例，通过教学展示、培训反思、成果汇报、培训成果二次分享等多种形式呈现培训效果，并将培训效果相关材料于培训结束一个月内提供给甲方，作为评估培训效果的重要依据。</w:t>
            </w:r>
            <w:r>
              <w:rPr>
                <w:rFonts w:ascii="仿宋_GB2312" w:hAnsi="仿宋_GB2312" w:cs="仿宋_GB2312" w:eastAsia="仿宋_GB2312"/>
                <w:sz w:val="24"/>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合同履行完毕并经验收合格，收到供应商开具的发票后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1.能清晰、准确把握培训目标、对象特点、核心需求及政策导向，并深度融入政策要求，分层分类精准分析对象需求，计15分。 2.能清晰、准确把握培训目标、对象特点、核心需求及政策导向，基本融入政策要求，分层分类分析对象需求，计12分。 3.基本能够把握培训目标、对象特点、核心需求及政策导向，部分提及政策要求，培训对象需求分析基本覆盖，计9分。 4.基本理解培训目标、对象特点、核心需求及政策导向，未体现政策要求，培训对象需求分析覆盖不全，计6分。 5.培训目标、对象特点、核心需求及政策导向理解不清晰，未体现政策要求，未针对各类培训对象需求进行分析，计3分。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1.方案完整科学；内容紧扣核心需求；集中培训形式多样、安排高效；培训师资力量强大，能有效整合研修资源；突出实践性、操作性，具有创新性；计20分。 2.方案较为完整科学；内容符合核心需求；集中培训形式多样、安排基本合理；组织培训师资力量强大，能整合研修资源；突出实践性、操作性；计16分。 3.方案完整；内容基本满足核心需求；集中培训形式重复、安排不够合理；组织培训师资力量弱，研修资源整合能力弱；基本体现实践性、操作性；计12分。 4.方案基本可行；内容基本满足需求；集中培训形式重复、安排不够合理；组织培训师资力量较弱，研修资源整合能力较弱；基本体现实践性、操作性；计8分。 5.方案基本可行；内容模糊，缺乏针对性；集中培训形式单一、安排存在漏洞；未提供培训师资力量介绍；缺乏实践性、操作性；计4分。 6.本项不提供的，不得分。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1.拟投入本项目的项目团队说明清晰、全面； 组织结构合理性强，小组分工明确，能切实保障各培训项目的有效开展；人员专业配备全面、合理，项目团队能够充分保证项目实施进度与质量；计15分。 2.拟投入本项目的项目团队说明较为清晰、全面；组织结构合理，小组分工明确，能保障各培训项目按要求开展；人员专业配备全面，项目团队能够保证项目实施进度与质量；计12分。 3.拟投入本项目的项目团队说明清晰；组织结构合理性较弱，小组分工不明确，基本能保障各培训项目按要求开展；人员专业配备基本满足，项目团队基本能够保证项目实施进度与质量；计9分。 4.拟投入本项目的项目团队说明不够清晰；组织结构合理性较弱，小组分工未做说明，基本保障培训项目开展；人员专业配备不足，项目团队基本能够保证项目实施进度与质量；计6分。 5.拟投入本项目的项目团队说明清晰、全面； 组织结构及小组分工未做说明，能切实保障各培训项目的有效开展；人员专业配备未做特别说明，项目团队较难保证项目实施进度与质量；计3分。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培训场地及设施安排</w:t>
            </w:r>
          </w:p>
        </w:tc>
        <w:tc>
          <w:tcPr>
            <w:tcW w:type="dxa" w:w="2492"/>
          </w:tcPr>
          <w:p>
            <w:pPr>
              <w:pStyle w:val="null3"/>
            </w:pPr>
            <w:r>
              <w:rPr>
                <w:rFonts w:ascii="仿宋_GB2312" w:hAnsi="仿宋_GB2312" w:cs="仿宋_GB2312" w:eastAsia="仿宋_GB2312"/>
              </w:rPr>
              <w:t>1.拟提供培训场地及设施说明清晰、全面；提供自有或租用的教学培训场地、实操场地及食宿场地的相关说明；拟提供场地条件完备，培训设施设备完善；计10分。 2.拟提供培训场地及设施说明较为清晰、全面；提供自有或租用的教学培训场地、实操场地及食宿场地的相关说明较为全面；拟提供场地条件较为完备，培训设施设备比较完善；计8分。 3.拟提供培训场地及设施说明基本清晰、全面；提供自有或租用的教学培训场地、实操场地及食宿场地的相关说明基本全面；拟提供场地条件较为完备，培训设施设备比较完善；计6分。 4.拟提供培训场地及设施说明不够清晰；提供自有或租用的教学培训场地、实操场地及食宿场地的相关说明不全面、不合理；拟提供场地条件、培训设施设备；计4分。 5.拟提供培训场地及设施说明不清晰；提供自有或租用的教学培训场地、实操场地及食宿场地的相关说明不全面、不合理；拟提供场地条件、培训设施设备；计2分。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1.提供内容完整、详实可行的项目实施进度计划；方案内容完备，合理性、可行性强，阶段清晰分明；能确保留有因不可抗力而无法举行培训的富余时间；完全满足项目要求；计10分。 2.提供内容较完整、可行的项目实施进度计划；方案内容完备，具备合理性、可行性，阶段较为清晰；能够满足项目要求；计8分。 提供内容基本完整的项目实施进度计划；方案内容基本完善，基本合理，阶段划分基本清晰；基本满足项目要求；计6分。 提供内容不够完整的项目实施进度计划；方案内容片面，合理性较弱，阶段划分模糊；不够满足项目要求；计4分。 提供内容不够完整、可行的项目实施进度计划；方案内容不完备，不太合理、可行，阶段不清晰；不太能满足项目要求；计2分。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1.具有健全的质量保障方案，方案科学合理，可行性强，针对性强；有科学合理的质量保障监督方案、效果评估方案；有应急预案和相应处理措施；计10分。 2.具有健全的质量保障方案，方案科学合理；有科学合理的质量保障监督方案、但效果评估方案较片面、不合理；应急预案和相应处理措施不健全；计8分。 3.具有质量保障方案，方案可行性、针对性一般；质量保障监督方案、效果评估方案均较为片面、不合理；提供应急预案和相应处理措施；计6分。 4.质量保障方案模糊，可行性、针对性较弱；未提供质量保障监督方案或效果评估方案；未提供应急预案和相应处理措施；计4分。 5.质量保障方案模糊，可行性、针对性较弱；未提供质量保障监督方案或效果评估方案；未提供应急预案和相应处理措施；计2分。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一、评审内容：供应商提供2022年1月1日至今类似项目业绩，每一份计2分，最多计10分。 二、评审标准：业绩证明材料（以磋商响应文件中提供的合同复印件为准，合同关键页内容须包含签订双方名称、签订时间、主要服务内容、双方盖章页等）。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