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6C1BAC">
      <w:pPr>
        <w:rPr>
          <w:rFonts w:ascii="宋体" w:hAnsi="宋体" w:cs="宋体"/>
          <w:b/>
          <w:sz w:val="32"/>
          <w:szCs w:val="32"/>
        </w:rPr>
      </w:pPr>
    </w:p>
    <w:tbl>
      <w:tblPr>
        <w:tblStyle w:val="3"/>
        <w:tblpPr w:leftFromText="180" w:rightFromText="180" w:vertAnchor="text" w:horzAnchor="page" w:tblpX="9298" w:tblpY="-262"/>
        <w:tblW w:w="10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5"/>
      </w:tblGrid>
      <w:tr w14:paraId="1D21D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rPr>
        <w:tc>
          <w:tcPr>
            <w:tcW w:w="1005" w:type="dxa"/>
            <w:tcBorders>
              <w:top w:val="single" w:color="auto" w:sz="4" w:space="0"/>
              <w:left w:val="single" w:color="auto" w:sz="4" w:space="0"/>
              <w:bottom w:val="single" w:color="auto" w:sz="4" w:space="0"/>
              <w:right w:val="single" w:color="auto" w:sz="4" w:space="0"/>
            </w:tcBorders>
          </w:tcPr>
          <w:p w14:paraId="4E39B62C">
            <w:pPr>
              <w:rPr>
                <w:rFonts w:ascii="宋体" w:hAnsi="宋体" w:cs="宋体"/>
                <w:b/>
                <w:sz w:val="32"/>
                <w:szCs w:val="32"/>
              </w:rPr>
            </w:pPr>
            <w:r>
              <w:rPr>
                <w:rFonts w:hint="eastAsia" w:ascii="宋体" w:hAnsi="宋体" w:cs="宋体"/>
                <w:b/>
                <w:sz w:val="32"/>
                <w:szCs w:val="32"/>
              </w:rPr>
              <w:t>标准</w:t>
            </w:r>
          </w:p>
        </w:tc>
      </w:tr>
    </w:tbl>
    <w:p w14:paraId="61CE6860">
      <w:pPr>
        <w:jc w:val="center"/>
        <w:rPr>
          <w:rFonts w:ascii="宋体" w:hAnsi="宋体" w:cs="宋体"/>
          <w:b/>
          <w:sz w:val="36"/>
          <w:szCs w:val="36"/>
        </w:rPr>
      </w:pPr>
    </w:p>
    <w:p w14:paraId="3EFE9288">
      <w:pPr>
        <w:jc w:val="center"/>
        <w:rPr>
          <w:rFonts w:ascii="宋体" w:hAnsi="宋体" w:cs="宋体"/>
          <w:b/>
          <w:spacing w:val="-20"/>
          <w:sz w:val="58"/>
          <w:szCs w:val="58"/>
        </w:rPr>
      </w:pPr>
      <w:r>
        <w:rPr>
          <w:rFonts w:hint="eastAsia" w:ascii="宋体" w:hAnsi="宋体" w:cs="宋体"/>
          <w:b/>
          <w:spacing w:val="-20"/>
          <w:sz w:val="58"/>
          <w:szCs w:val="58"/>
        </w:rPr>
        <w:t>西安市第三医院</w:t>
      </w:r>
      <w:r>
        <w:rPr>
          <w:rFonts w:hint="eastAsia" w:ascii="宋体" w:hAnsi="宋体" w:cs="宋体"/>
          <w:b/>
          <w:color w:val="FF0000"/>
          <w:spacing w:val="-20"/>
          <w:sz w:val="58"/>
          <w:szCs w:val="58"/>
        </w:rPr>
        <w:t>(成交通知书上的项目名称)</w:t>
      </w:r>
    </w:p>
    <w:p w14:paraId="2AFAF41E">
      <w:pPr>
        <w:spacing w:line="800" w:lineRule="exact"/>
        <w:jc w:val="center"/>
        <w:rPr>
          <w:rFonts w:ascii="宋体" w:hAnsi="宋体" w:cs="宋体"/>
          <w:b/>
          <w:sz w:val="72"/>
          <w:szCs w:val="72"/>
        </w:rPr>
      </w:pPr>
      <w:r>
        <w:rPr>
          <w:rFonts w:hint="eastAsia" w:ascii="宋体" w:hAnsi="宋体" w:cs="宋体"/>
          <w:b/>
          <w:sz w:val="72"/>
          <w:szCs w:val="72"/>
        </w:rPr>
        <w:t>供 货 合 同</w:t>
      </w:r>
    </w:p>
    <w:p w14:paraId="2F69B054">
      <w:pPr>
        <w:spacing w:line="800" w:lineRule="exact"/>
        <w:jc w:val="center"/>
        <w:rPr>
          <w:rFonts w:ascii="宋体" w:hAnsi="宋体" w:cs="宋体"/>
          <w:b/>
          <w:sz w:val="36"/>
          <w:szCs w:val="36"/>
        </w:rPr>
      </w:pPr>
      <w:r>
        <w:rPr>
          <w:rFonts w:hint="eastAsia" w:ascii="宋体" w:hAnsi="宋体" w:cs="宋体"/>
          <w:b/>
          <w:sz w:val="36"/>
          <w:szCs w:val="36"/>
        </w:rPr>
        <w:t>招标编号：XXXXXXXXXXX</w:t>
      </w:r>
      <w:r>
        <w:rPr>
          <w:rFonts w:ascii="宋体" w:hAnsi="宋体" w:cs="宋体"/>
          <w:b/>
          <w:sz w:val="36"/>
          <w:szCs w:val="36"/>
        </w:rPr>
        <w:t>XXXXXXX</w:t>
      </w:r>
    </w:p>
    <w:p w14:paraId="4AFFF41A">
      <w:pPr>
        <w:jc w:val="center"/>
        <w:rPr>
          <w:rFonts w:ascii="宋体" w:hAnsi="宋体" w:cs="宋体"/>
          <w:sz w:val="30"/>
          <w:szCs w:val="30"/>
        </w:rPr>
      </w:pPr>
    </w:p>
    <w:p w14:paraId="7355B45B">
      <w:pPr>
        <w:jc w:val="center"/>
        <w:rPr>
          <w:rFonts w:ascii="宋体" w:hAnsi="宋体" w:cs="宋体"/>
          <w:sz w:val="30"/>
          <w:szCs w:val="30"/>
        </w:rPr>
      </w:pPr>
    </w:p>
    <w:p w14:paraId="1E988F34">
      <w:pPr>
        <w:rPr>
          <w:rFonts w:ascii="宋体" w:hAnsi="宋体" w:cs="宋体"/>
          <w:sz w:val="30"/>
          <w:szCs w:val="30"/>
        </w:rPr>
      </w:pPr>
    </w:p>
    <w:p w14:paraId="1F961490">
      <w:pPr>
        <w:pStyle w:val="2"/>
      </w:pPr>
      <w:bookmarkStart w:id="1" w:name="_GoBack"/>
      <w:bookmarkEnd w:id="1"/>
    </w:p>
    <w:p w14:paraId="2D6BF5B6">
      <w:pPr>
        <w:jc w:val="center"/>
        <w:rPr>
          <w:rFonts w:ascii="宋体" w:hAnsi="宋体" w:cs="宋体"/>
          <w:sz w:val="30"/>
          <w:szCs w:val="30"/>
        </w:rPr>
      </w:pPr>
    </w:p>
    <w:p w14:paraId="643740D3">
      <w:pPr>
        <w:ind w:firstLine="2080" w:firstLineChars="650"/>
        <w:rPr>
          <w:rFonts w:ascii="宋体" w:hAnsi="宋体" w:cs="宋体"/>
          <w:sz w:val="32"/>
          <w:szCs w:val="32"/>
        </w:rPr>
      </w:pPr>
      <w:r>
        <w:rPr>
          <w:rFonts w:hint="eastAsia" w:ascii="宋体" w:hAnsi="宋体" w:cs="宋体"/>
          <w:sz w:val="32"/>
          <w:szCs w:val="32"/>
        </w:rPr>
        <w:t>甲  方：西安市第三医院</w:t>
      </w:r>
    </w:p>
    <w:p w14:paraId="6F0862B7">
      <w:pPr>
        <w:tabs>
          <w:tab w:val="left" w:pos="480"/>
        </w:tabs>
        <w:ind w:firstLine="640" w:firstLineChars="200"/>
        <w:rPr>
          <w:rFonts w:ascii="宋体" w:hAnsi="宋体" w:cs="宋体"/>
          <w:sz w:val="32"/>
          <w:szCs w:val="32"/>
        </w:rPr>
      </w:pPr>
      <w:r>
        <w:rPr>
          <w:rFonts w:hint="eastAsia" w:ascii="宋体" w:hAnsi="宋体" w:cs="宋体"/>
          <w:sz w:val="32"/>
          <w:szCs w:val="32"/>
        </w:rPr>
        <w:t xml:space="preserve">         乙  方：XXXXXXXXXXXXXXXXXXXX</w:t>
      </w:r>
    </w:p>
    <w:p w14:paraId="79F6A502">
      <w:pPr>
        <w:rPr>
          <w:rFonts w:ascii="宋体" w:hAnsi="宋体" w:cs="宋体"/>
          <w:sz w:val="32"/>
          <w:szCs w:val="32"/>
        </w:rPr>
      </w:pPr>
      <w:r>
        <w:rPr>
          <w:rFonts w:hint="eastAsia" w:ascii="宋体" w:hAnsi="宋体" w:cs="宋体"/>
          <w:sz w:val="32"/>
          <w:szCs w:val="32"/>
        </w:rPr>
        <w:t xml:space="preserve">             </w:t>
      </w:r>
    </w:p>
    <w:p w14:paraId="421D678C">
      <w:pPr>
        <w:jc w:val="center"/>
        <w:rPr>
          <w:rFonts w:ascii="宋体" w:hAnsi="宋体" w:cs="宋体"/>
          <w:sz w:val="30"/>
          <w:szCs w:val="30"/>
        </w:rPr>
      </w:pPr>
    </w:p>
    <w:p w14:paraId="2EA6DB3D">
      <w:pPr>
        <w:pStyle w:val="2"/>
      </w:pPr>
    </w:p>
    <w:p w14:paraId="3508A5EB">
      <w:pPr>
        <w:jc w:val="center"/>
        <w:rPr>
          <w:rFonts w:ascii="宋体" w:hAnsi="宋体" w:cs="宋体"/>
          <w:sz w:val="32"/>
          <w:szCs w:val="32"/>
        </w:rPr>
      </w:pPr>
      <w:r>
        <w:rPr>
          <w:rFonts w:hint="eastAsia" w:ascii="宋体" w:hAnsi="宋体" w:cs="宋体"/>
          <w:sz w:val="32"/>
          <w:szCs w:val="32"/>
        </w:rPr>
        <w:t>XXXX年 XXX月</w:t>
      </w:r>
    </w:p>
    <w:p w14:paraId="1EE505C2">
      <w:pPr>
        <w:jc w:val="center"/>
        <w:rPr>
          <w:rFonts w:ascii="宋体" w:hAnsi="宋体" w:cs="宋体"/>
          <w:sz w:val="32"/>
          <w:szCs w:val="32"/>
        </w:rPr>
      </w:pPr>
      <w:r>
        <w:rPr>
          <w:rFonts w:hint="eastAsia" w:ascii="宋体" w:hAnsi="宋体" w:cs="宋体"/>
          <w:sz w:val="32"/>
          <w:szCs w:val="32"/>
        </w:rPr>
        <w:t>中国  西安</w:t>
      </w:r>
    </w:p>
    <w:p w14:paraId="5C00CB90">
      <w:pPr>
        <w:widowControl/>
        <w:jc w:val="left"/>
        <w:rPr>
          <w:rFonts w:ascii="宋体" w:hAnsi="宋体" w:cs="宋体"/>
          <w:b/>
          <w:sz w:val="32"/>
          <w:szCs w:val="32"/>
        </w:rPr>
      </w:pPr>
      <w:r>
        <w:rPr>
          <w:rFonts w:hint="eastAsia" w:ascii="宋体" w:hAnsi="宋体" w:cs="宋体"/>
          <w:b/>
          <w:sz w:val="32"/>
          <w:szCs w:val="32"/>
        </w:rPr>
        <w:br w:type="page"/>
      </w:r>
    </w:p>
    <w:p w14:paraId="04DE3610">
      <w:pPr>
        <w:spacing w:line="360" w:lineRule="auto"/>
        <w:jc w:val="center"/>
        <w:rPr>
          <w:rFonts w:ascii="宋体" w:hAnsi="宋体" w:cs="宋体"/>
          <w:b/>
          <w:sz w:val="32"/>
          <w:szCs w:val="32"/>
        </w:rPr>
      </w:pPr>
      <w:r>
        <w:rPr>
          <w:rFonts w:hint="eastAsia" w:ascii="宋体" w:hAnsi="宋体" w:cs="宋体"/>
          <w:b/>
          <w:sz w:val="32"/>
          <w:szCs w:val="32"/>
        </w:rPr>
        <w:t>供 货 合 同</w:t>
      </w:r>
    </w:p>
    <w:p w14:paraId="78CDC583">
      <w:pPr>
        <w:spacing w:line="360" w:lineRule="auto"/>
        <w:ind w:firstLine="480" w:firstLineChars="200"/>
        <w:rPr>
          <w:rFonts w:ascii="宋体" w:hAnsi="宋体" w:cs="宋体"/>
          <w:sz w:val="24"/>
          <w:szCs w:val="24"/>
        </w:rPr>
      </w:pPr>
      <w:r>
        <w:rPr>
          <w:rFonts w:hint="eastAsia" w:ascii="宋体" w:hAnsi="宋体" w:cs="宋体"/>
          <w:sz w:val="24"/>
          <w:szCs w:val="24"/>
        </w:rPr>
        <w:t>甲方：西安市第三医院</w:t>
      </w:r>
    </w:p>
    <w:p w14:paraId="2738A2BD">
      <w:pPr>
        <w:spacing w:line="360" w:lineRule="auto"/>
        <w:ind w:firstLine="480" w:firstLineChars="200"/>
        <w:rPr>
          <w:rFonts w:ascii="宋体" w:hAnsi="宋体" w:cs="宋体"/>
          <w:sz w:val="24"/>
          <w:szCs w:val="24"/>
        </w:rPr>
      </w:pPr>
      <w:r>
        <w:rPr>
          <w:rFonts w:hint="eastAsia" w:ascii="宋体" w:hAnsi="宋体" w:cs="宋体"/>
          <w:sz w:val="24"/>
          <w:szCs w:val="24"/>
        </w:rPr>
        <w:t>住所地：西安市凤城三路东段10号</w:t>
      </w:r>
    </w:p>
    <w:p w14:paraId="1F37E9B4">
      <w:pPr>
        <w:spacing w:line="360" w:lineRule="auto"/>
        <w:ind w:firstLine="480" w:firstLineChars="200"/>
        <w:rPr>
          <w:rFonts w:ascii="宋体" w:hAnsi="宋体" w:cs="宋体"/>
          <w:sz w:val="24"/>
          <w:szCs w:val="24"/>
        </w:rPr>
      </w:pPr>
      <w:r>
        <w:rPr>
          <w:rFonts w:hint="eastAsia" w:ascii="宋体" w:hAnsi="宋体" w:cs="宋体"/>
          <w:sz w:val="24"/>
          <w:szCs w:val="24"/>
        </w:rPr>
        <w:t>法定代表人：</w:t>
      </w:r>
    </w:p>
    <w:p w14:paraId="7A4F43A5">
      <w:pPr>
        <w:spacing w:line="360" w:lineRule="auto"/>
        <w:ind w:firstLine="480" w:firstLineChars="200"/>
        <w:rPr>
          <w:rFonts w:ascii="宋体" w:hAnsi="宋体" w:cs="宋体"/>
          <w:sz w:val="24"/>
          <w:szCs w:val="24"/>
        </w:rPr>
      </w:pPr>
      <w:r>
        <w:rPr>
          <w:rFonts w:hint="eastAsia" w:ascii="宋体" w:hAnsi="宋体" w:cs="宋体"/>
          <w:sz w:val="24"/>
          <w:szCs w:val="24"/>
        </w:rPr>
        <w:t>联系方式：</w:t>
      </w:r>
    </w:p>
    <w:p w14:paraId="744A7B9A">
      <w:pPr>
        <w:spacing w:line="360" w:lineRule="auto"/>
        <w:ind w:firstLine="480" w:firstLineChars="200"/>
        <w:rPr>
          <w:rFonts w:ascii="宋体" w:hAnsi="宋体" w:cs="宋体"/>
          <w:sz w:val="24"/>
          <w:szCs w:val="24"/>
        </w:rPr>
      </w:pPr>
      <w:r>
        <w:rPr>
          <w:rFonts w:hint="eastAsia" w:ascii="宋体" w:hAnsi="宋体" w:cs="宋体"/>
          <w:sz w:val="24"/>
          <w:szCs w:val="24"/>
        </w:rPr>
        <w:t>乙方：XXXXXXXXXXXXXXXX</w:t>
      </w:r>
    </w:p>
    <w:p w14:paraId="468F473F">
      <w:pPr>
        <w:spacing w:line="360" w:lineRule="auto"/>
        <w:ind w:firstLine="480" w:firstLineChars="200"/>
        <w:rPr>
          <w:rFonts w:ascii="宋体" w:hAnsi="宋体" w:cs="宋体"/>
          <w:sz w:val="24"/>
          <w:szCs w:val="24"/>
        </w:rPr>
      </w:pPr>
      <w:r>
        <w:rPr>
          <w:rFonts w:hint="eastAsia" w:ascii="宋体" w:hAnsi="宋体" w:cs="宋体"/>
          <w:sz w:val="24"/>
          <w:szCs w:val="24"/>
        </w:rPr>
        <w:t>住所地：XXXXXXXXXXXXXXXXXXXXXXXXXX</w:t>
      </w:r>
    </w:p>
    <w:p w14:paraId="1604C758">
      <w:pPr>
        <w:spacing w:line="360" w:lineRule="auto"/>
        <w:ind w:firstLine="480" w:firstLineChars="200"/>
        <w:rPr>
          <w:rFonts w:ascii="宋体" w:hAnsi="宋体" w:cs="宋体"/>
          <w:sz w:val="24"/>
          <w:szCs w:val="24"/>
        </w:rPr>
      </w:pPr>
      <w:r>
        <w:rPr>
          <w:rFonts w:hint="eastAsia" w:ascii="宋体" w:hAnsi="宋体" w:cs="宋体"/>
          <w:sz w:val="24"/>
          <w:szCs w:val="24"/>
        </w:rPr>
        <w:t>法定代表人：XXXXX</w:t>
      </w:r>
    </w:p>
    <w:p w14:paraId="4A1FD0DD">
      <w:pPr>
        <w:spacing w:line="360" w:lineRule="auto"/>
        <w:ind w:firstLine="480" w:firstLineChars="200"/>
        <w:rPr>
          <w:rFonts w:ascii="宋体" w:hAnsi="宋体" w:cs="宋体"/>
          <w:sz w:val="24"/>
          <w:szCs w:val="24"/>
        </w:rPr>
      </w:pPr>
      <w:r>
        <w:rPr>
          <w:rFonts w:hint="eastAsia" w:ascii="宋体" w:hAnsi="宋体" w:cs="宋体"/>
          <w:sz w:val="24"/>
          <w:szCs w:val="24"/>
        </w:rPr>
        <w:t>联系方式：XXXXXXXXXXXXXXXXXXXX</w:t>
      </w:r>
    </w:p>
    <w:p w14:paraId="5F257BD7">
      <w:pPr>
        <w:spacing w:line="360" w:lineRule="auto"/>
        <w:ind w:firstLine="480" w:firstLineChars="200"/>
        <w:rPr>
          <w:rFonts w:ascii="宋体" w:hAnsi="宋体" w:cs="宋体"/>
          <w:sz w:val="24"/>
          <w:szCs w:val="24"/>
        </w:rPr>
      </w:pPr>
      <w:r>
        <w:rPr>
          <w:rFonts w:hint="eastAsia" w:ascii="宋体" w:hAnsi="宋体" w:cs="宋体"/>
          <w:sz w:val="24"/>
          <w:szCs w:val="24"/>
        </w:rPr>
        <w:t>西安市第三医院（以下简称甲方）所需本合同项目下的医疗设备，在西安市财政局政府采购管理处的监督管理下，由XXXXXXXXXXXXXXXXXXXX（以下简称招标代理机构）按照政府采购程序组织公开招标，确定XXXXXXXXXXXXXXXXXX（以下简称乙方）为成交供应商。依据《中华人民共和国政府采购法》、《中华人民共和国民法典》以及招标代理机构的招标文件、中标供应商投标文件正本和澄清表（函）、中标通知书，经甲、乙双方协商，达成如下条款。</w:t>
      </w:r>
    </w:p>
    <w:p w14:paraId="11391D3B">
      <w:pPr>
        <w:pStyle w:val="6"/>
        <w:numPr>
          <w:ilvl w:val="0"/>
          <w:numId w:val="1"/>
        </w:numPr>
        <w:tabs>
          <w:tab w:val="left" w:pos="480"/>
        </w:tabs>
        <w:spacing w:line="360" w:lineRule="auto"/>
        <w:ind w:firstLineChars="0"/>
        <w:rPr>
          <w:rFonts w:ascii="宋体" w:hAnsi="宋体" w:cs="宋体"/>
          <w:sz w:val="24"/>
        </w:rPr>
      </w:pPr>
      <w:r>
        <w:rPr>
          <w:rFonts w:ascii="宋体" w:hAnsi="宋体" w:cs="宋体"/>
          <w:b/>
          <w:sz w:val="24"/>
        </w:rPr>
        <w:t>合同标的物内容</w:t>
      </w:r>
      <w:r>
        <w:rPr>
          <w:rFonts w:ascii="宋体" w:hAnsi="宋体" w:cs="宋体"/>
          <w:sz w:val="24"/>
        </w:rPr>
        <w:t>（以投标文件正本和澄清表〈函〉为准，标的物</w:t>
      </w:r>
      <w:r>
        <w:rPr>
          <w:rFonts w:hint="eastAsia" w:ascii="宋体" w:hAnsi="宋体" w:cs="宋体"/>
          <w:sz w:val="24"/>
        </w:rPr>
        <w:t>分项清单</w:t>
      </w:r>
      <w:r>
        <w:rPr>
          <w:rFonts w:ascii="宋体" w:hAnsi="宋体" w:cs="宋体"/>
          <w:sz w:val="24"/>
        </w:rPr>
        <w:t>规格标准详见附件一、附件二、）</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1457"/>
        <w:gridCol w:w="1704"/>
        <w:gridCol w:w="1705"/>
        <w:gridCol w:w="1705"/>
      </w:tblGrid>
      <w:tr w14:paraId="60E13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5EA2875E">
            <w:pPr>
              <w:tabs>
                <w:tab w:val="left" w:pos="480"/>
              </w:tabs>
              <w:spacing w:line="360" w:lineRule="auto"/>
              <w:jc w:val="center"/>
              <w:rPr>
                <w:rFonts w:ascii="宋体" w:hAnsi="宋体" w:cs="宋体"/>
                <w:color w:val="000000"/>
                <w:sz w:val="24"/>
                <w:szCs w:val="22"/>
              </w:rPr>
            </w:pPr>
            <w:r>
              <w:rPr>
                <w:rFonts w:hint="eastAsia" w:ascii="宋体" w:hAnsi="宋体" w:cs="宋体"/>
                <w:color w:val="000000"/>
                <w:sz w:val="24"/>
                <w:szCs w:val="22"/>
              </w:rPr>
              <w:t>标的物名称</w:t>
            </w:r>
          </w:p>
        </w:tc>
        <w:tc>
          <w:tcPr>
            <w:tcW w:w="1457" w:type="dxa"/>
          </w:tcPr>
          <w:p w14:paraId="2A26A3BE">
            <w:pPr>
              <w:tabs>
                <w:tab w:val="left" w:pos="480"/>
              </w:tabs>
              <w:spacing w:line="360" w:lineRule="auto"/>
              <w:jc w:val="center"/>
              <w:rPr>
                <w:rFonts w:ascii="宋体" w:hAnsi="宋体" w:cs="宋体"/>
                <w:color w:val="000000"/>
                <w:sz w:val="24"/>
                <w:szCs w:val="22"/>
              </w:rPr>
            </w:pPr>
            <w:r>
              <w:rPr>
                <w:rFonts w:hint="eastAsia" w:ascii="宋体" w:hAnsi="宋体" w:cs="宋体"/>
                <w:color w:val="000000"/>
                <w:sz w:val="24"/>
                <w:szCs w:val="22"/>
              </w:rPr>
              <w:t>品牌</w:t>
            </w:r>
          </w:p>
        </w:tc>
        <w:tc>
          <w:tcPr>
            <w:tcW w:w="1704" w:type="dxa"/>
          </w:tcPr>
          <w:p w14:paraId="7395D0EA">
            <w:pPr>
              <w:tabs>
                <w:tab w:val="left" w:pos="480"/>
              </w:tabs>
              <w:spacing w:line="360" w:lineRule="auto"/>
              <w:jc w:val="center"/>
              <w:rPr>
                <w:rFonts w:ascii="宋体" w:hAnsi="宋体" w:cs="宋体"/>
                <w:color w:val="000000"/>
                <w:sz w:val="24"/>
                <w:szCs w:val="22"/>
              </w:rPr>
            </w:pPr>
            <w:r>
              <w:rPr>
                <w:rFonts w:hint="eastAsia" w:ascii="宋体" w:hAnsi="宋体" w:cs="宋体"/>
                <w:color w:val="000000"/>
                <w:sz w:val="24"/>
                <w:szCs w:val="22"/>
              </w:rPr>
              <w:t>数量</w:t>
            </w:r>
          </w:p>
        </w:tc>
        <w:tc>
          <w:tcPr>
            <w:tcW w:w="1705" w:type="dxa"/>
          </w:tcPr>
          <w:p w14:paraId="73AD0166">
            <w:pPr>
              <w:tabs>
                <w:tab w:val="left" w:pos="480"/>
              </w:tabs>
              <w:spacing w:line="360" w:lineRule="auto"/>
              <w:jc w:val="center"/>
              <w:rPr>
                <w:rFonts w:ascii="宋体" w:hAnsi="宋体" w:cs="宋体"/>
                <w:color w:val="000000"/>
                <w:sz w:val="24"/>
                <w:szCs w:val="22"/>
              </w:rPr>
            </w:pPr>
            <w:r>
              <w:rPr>
                <w:rFonts w:hint="eastAsia" w:ascii="宋体" w:hAnsi="宋体" w:cs="宋体"/>
                <w:color w:val="000000"/>
                <w:sz w:val="24"/>
                <w:szCs w:val="22"/>
              </w:rPr>
              <w:t>金额（万元）</w:t>
            </w:r>
          </w:p>
        </w:tc>
        <w:tc>
          <w:tcPr>
            <w:tcW w:w="1705" w:type="dxa"/>
          </w:tcPr>
          <w:p w14:paraId="01F5DBC2">
            <w:pPr>
              <w:tabs>
                <w:tab w:val="left" w:pos="480"/>
              </w:tabs>
              <w:spacing w:line="360" w:lineRule="auto"/>
              <w:jc w:val="center"/>
              <w:rPr>
                <w:rFonts w:ascii="宋体" w:hAnsi="宋体" w:cs="宋体"/>
                <w:color w:val="000000"/>
                <w:sz w:val="24"/>
                <w:szCs w:val="22"/>
              </w:rPr>
            </w:pPr>
            <w:r>
              <w:rPr>
                <w:rFonts w:hint="eastAsia" w:ascii="宋体" w:hAnsi="宋体" w:cs="宋体"/>
                <w:color w:val="000000"/>
                <w:sz w:val="24"/>
                <w:szCs w:val="22"/>
              </w:rPr>
              <w:t>质保期（年）</w:t>
            </w:r>
          </w:p>
        </w:tc>
      </w:tr>
      <w:tr w14:paraId="11585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2B839F9F">
            <w:pPr>
              <w:tabs>
                <w:tab w:val="left" w:pos="480"/>
              </w:tabs>
              <w:spacing w:line="360" w:lineRule="auto"/>
              <w:rPr>
                <w:rFonts w:ascii="宋体" w:hAnsi="宋体" w:cs="宋体"/>
                <w:color w:val="000000"/>
                <w:sz w:val="24"/>
                <w:szCs w:val="22"/>
              </w:rPr>
            </w:pPr>
            <w:r>
              <w:rPr>
                <w:rFonts w:hint="eastAsia" w:ascii="宋体" w:hAnsi="宋体" w:cs="宋体"/>
                <w:color w:val="FF0000"/>
                <w:kern w:val="0"/>
                <w:sz w:val="24"/>
                <w:szCs w:val="22"/>
              </w:rPr>
              <w:t>中标通知书名称</w:t>
            </w:r>
          </w:p>
        </w:tc>
        <w:tc>
          <w:tcPr>
            <w:tcW w:w="1457" w:type="dxa"/>
          </w:tcPr>
          <w:p w14:paraId="1722E296">
            <w:pPr>
              <w:tabs>
                <w:tab w:val="left" w:pos="480"/>
              </w:tabs>
              <w:spacing w:line="360" w:lineRule="auto"/>
              <w:rPr>
                <w:rFonts w:ascii="宋体" w:hAnsi="宋体" w:cs="宋体"/>
                <w:color w:val="000000"/>
                <w:sz w:val="24"/>
                <w:szCs w:val="22"/>
              </w:rPr>
            </w:pPr>
            <w:r>
              <w:rPr>
                <w:rFonts w:hint="eastAsia" w:ascii="宋体" w:hAnsi="宋体" w:cs="宋体"/>
                <w:color w:val="000000"/>
                <w:sz w:val="24"/>
                <w:szCs w:val="22"/>
              </w:rPr>
              <w:t>国产/进口</w:t>
            </w:r>
          </w:p>
        </w:tc>
        <w:tc>
          <w:tcPr>
            <w:tcW w:w="1704" w:type="dxa"/>
          </w:tcPr>
          <w:p w14:paraId="091B027F">
            <w:pPr>
              <w:tabs>
                <w:tab w:val="left" w:pos="480"/>
              </w:tabs>
              <w:spacing w:line="360" w:lineRule="auto"/>
              <w:rPr>
                <w:rFonts w:ascii="宋体" w:hAnsi="宋体" w:cs="宋体"/>
                <w:color w:val="000000"/>
                <w:sz w:val="24"/>
                <w:szCs w:val="22"/>
              </w:rPr>
            </w:pPr>
          </w:p>
        </w:tc>
        <w:tc>
          <w:tcPr>
            <w:tcW w:w="1705" w:type="dxa"/>
          </w:tcPr>
          <w:p w14:paraId="27E9B114">
            <w:pPr>
              <w:tabs>
                <w:tab w:val="left" w:pos="480"/>
              </w:tabs>
              <w:spacing w:line="360" w:lineRule="auto"/>
              <w:rPr>
                <w:rFonts w:ascii="宋体" w:hAnsi="宋体" w:cs="宋体"/>
                <w:color w:val="000000"/>
                <w:sz w:val="24"/>
                <w:szCs w:val="22"/>
              </w:rPr>
            </w:pPr>
          </w:p>
        </w:tc>
        <w:tc>
          <w:tcPr>
            <w:tcW w:w="1705" w:type="dxa"/>
          </w:tcPr>
          <w:p w14:paraId="21F80A11">
            <w:pPr>
              <w:tabs>
                <w:tab w:val="left" w:pos="480"/>
              </w:tabs>
              <w:spacing w:line="360" w:lineRule="auto"/>
              <w:rPr>
                <w:rFonts w:ascii="宋体" w:hAnsi="宋体" w:cs="宋体"/>
                <w:color w:val="000000"/>
                <w:sz w:val="24"/>
                <w:szCs w:val="22"/>
              </w:rPr>
            </w:pPr>
          </w:p>
        </w:tc>
      </w:tr>
      <w:tr w14:paraId="4BF32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8522" w:type="dxa"/>
            <w:gridSpan w:val="5"/>
          </w:tcPr>
          <w:p w14:paraId="2754A57F">
            <w:pPr>
              <w:tabs>
                <w:tab w:val="left" w:pos="480"/>
              </w:tabs>
              <w:spacing w:line="360" w:lineRule="auto"/>
              <w:ind w:left="108"/>
              <w:rPr>
                <w:rFonts w:ascii="宋体" w:hAnsi="宋体" w:cs="宋体"/>
                <w:color w:val="000000"/>
                <w:sz w:val="24"/>
                <w:szCs w:val="22"/>
              </w:rPr>
            </w:pPr>
            <w:r>
              <w:rPr>
                <w:rFonts w:ascii="宋体" w:hAnsi="宋体" w:cs="宋体"/>
                <w:color w:val="000000"/>
                <w:sz w:val="28"/>
                <w:szCs w:val="22"/>
              </w:rPr>
              <w:t>货物价款合计（大写）：XXXXXXXXXXX  ¥：（XXXX万元</w:t>
            </w:r>
            <w:r>
              <w:rPr>
                <w:rFonts w:hint="eastAsia" w:ascii="宋体" w:hAnsi="宋体" w:cs="宋体"/>
                <w:color w:val="000000"/>
                <w:sz w:val="28"/>
                <w:szCs w:val="22"/>
              </w:rPr>
              <w:t>）</w:t>
            </w:r>
          </w:p>
        </w:tc>
      </w:tr>
    </w:tbl>
    <w:p w14:paraId="55809930">
      <w:pPr>
        <w:tabs>
          <w:tab w:val="left" w:pos="480"/>
        </w:tabs>
        <w:spacing w:line="360" w:lineRule="auto"/>
        <w:rPr>
          <w:rFonts w:ascii="宋体" w:hAnsi="宋体" w:cs="宋体"/>
          <w:b/>
          <w:sz w:val="24"/>
          <w:szCs w:val="24"/>
        </w:rPr>
      </w:pPr>
      <w:r>
        <w:rPr>
          <w:rFonts w:hint="eastAsia" w:ascii="宋体" w:hAnsi="宋体" w:cs="宋体"/>
          <w:b/>
          <w:sz w:val="24"/>
          <w:szCs w:val="24"/>
        </w:rPr>
        <w:t>二、合同价款</w:t>
      </w:r>
    </w:p>
    <w:p w14:paraId="562D0724">
      <w:pPr>
        <w:tabs>
          <w:tab w:val="left" w:pos="480"/>
        </w:tabs>
        <w:spacing w:line="360" w:lineRule="auto"/>
        <w:jc w:val="left"/>
        <w:rPr>
          <w:rFonts w:ascii="宋体" w:hAnsi="宋体" w:cs="宋体"/>
          <w:sz w:val="24"/>
          <w:szCs w:val="24"/>
        </w:rPr>
      </w:pPr>
      <w:r>
        <w:rPr>
          <w:rFonts w:hint="eastAsia" w:ascii="宋体" w:hAnsi="宋体" w:cs="宋体"/>
          <w:sz w:val="24"/>
          <w:szCs w:val="24"/>
        </w:rPr>
        <w:t>（一）合同总价款为人民币（大写）XXXXXXXXXXXXX（￥XXXX万元）。</w:t>
      </w:r>
    </w:p>
    <w:p w14:paraId="031ECC61">
      <w:pPr>
        <w:tabs>
          <w:tab w:val="left" w:pos="480"/>
        </w:tabs>
        <w:spacing w:line="360" w:lineRule="auto"/>
        <w:rPr>
          <w:rFonts w:ascii="宋体" w:hAnsi="宋体" w:cs="宋体"/>
          <w:sz w:val="24"/>
          <w:szCs w:val="24"/>
        </w:rPr>
      </w:pPr>
      <w:r>
        <w:rPr>
          <w:rFonts w:hint="eastAsia" w:ascii="宋体" w:hAnsi="宋体" w:cs="宋体"/>
          <w:sz w:val="24"/>
          <w:szCs w:val="24"/>
        </w:rPr>
        <w:t>（二）合同总价包括：货物费、</w:t>
      </w:r>
      <w:r>
        <w:rPr>
          <w:rFonts w:hint="eastAsia" w:ascii="宋体" w:hAnsi="宋体" w:cs="宋体"/>
          <w:color w:val="000000" w:themeColor="text1"/>
          <w:sz w:val="24"/>
          <w:szCs w:val="24"/>
          <w14:textFill>
            <w14:solidFill>
              <w14:schemeClr w14:val="tx1"/>
            </w14:solidFill>
          </w14:textFill>
        </w:rPr>
        <w:t>原厂维修保养服务费、</w:t>
      </w:r>
      <w:r>
        <w:rPr>
          <w:rFonts w:hint="eastAsia" w:ascii="宋体" w:hAnsi="宋体" w:cs="宋体"/>
          <w:sz w:val="24"/>
          <w:szCs w:val="24"/>
        </w:rPr>
        <w:t>运输费（含保险费）、装卸、安装调试费、检测验收、培训、技术服务及其它全部费用。</w:t>
      </w:r>
    </w:p>
    <w:p w14:paraId="1CECFB0E">
      <w:pPr>
        <w:tabs>
          <w:tab w:val="left" w:pos="480"/>
        </w:tabs>
        <w:spacing w:line="360" w:lineRule="auto"/>
        <w:rPr>
          <w:rFonts w:ascii="宋体" w:hAnsi="宋体" w:cs="宋体"/>
          <w:sz w:val="24"/>
          <w:szCs w:val="24"/>
        </w:rPr>
      </w:pPr>
      <w:r>
        <w:rPr>
          <w:rFonts w:hint="eastAsia" w:ascii="宋体" w:hAnsi="宋体" w:cs="宋体"/>
          <w:sz w:val="24"/>
          <w:szCs w:val="24"/>
        </w:rPr>
        <w:t>（三）合同总价一次性包死，不受市场价格变化因素的影响。</w:t>
      </w:r>
    </w:p>
    <w:p w14:paraId="540A8716">
      <w:pPr>
        <w:tabs>
          <w:tab w:val="left" w:pos="480"/>
        </w:tabs>
        <w:spacing w:line="360" w:lineRule="auto"/>
        <w:rPr>
          <w:rFonts w:ascii="宋体" w:hAnsi="宋体" w:cs="宋体"/>
          <w:b/>
          <w:sz w:val="24"/>
          <w:szCs w:val="24"/>
        </w:rPr>
      </w:pPr>
      <w:r>
        <w:rPr>
          <w:rFonts w:hint="eastAsia" w:ascii="宋体" w:hAnsi="宋体" w:cs="宋体"/>
          <w:b/>
          <w:sz w:val="24"/>
          <w:szCs w:val="24"/>
        </w:rPr>
        <w:t>三、款项结算</w:t>
      </w:r>
    </w:p>
    <w:p w14:paraId="2052C5EB">
      <w:pPr>
        <w:widowControl/>
        <w:tabs>
          <w:tab w:val="left" w:pos="480"/>
        </w:tabs>
        <w:spacing w:line="360" w:lineRule="auto"/>
        <w:jc w:val="left"/>
        <w:rPr>
          <w:rFonts w:ascii="宋体" w:hAnsi="宋体" w:cs="宋体"/>
          <w:sz w:val="24"/>
          <w:szCs w:val="24"/>
        </w:rPr>
      </w:pPr>
      <w:r>
        <w:rPr>
          <w:rFonts w:hint="eastAsia" w:ascii="宋体" w:hAnsi="宋体" w:cs="宋体"/>
          <w:sz w:val="24"/>
          <w:szCs w:val="24"/>
        </w:rPr>
        <w:t>（一）合同签订后，乙方须按其投标文件中响应的交货期按时交货并提供全额合规发票保证“货票同行”，设备到达甲方指定地点，安装、调试完毕并验收合格后，甲方支付合同总价款的9</w:t>
      </w:r>
      <w:r>
        <w:rPr>
          <w:rFonts w:ascii="宋体" w:hAnsi="宋体" w:cs="宋体"/>
          <w:sz w:val="24"/>
          <w:szCs w:val="24"/>
        </w:rPr>
        <w:t>5</w:t>
      </w:r>
      <w:r>
        <w:rPr>
          <w:rFonts w:hint="eastAsia" w:ascii="宋体" w:hAnsi="宋体" w:cs="宋体"/>
          <w:sz w:val="24"/>
          <w:szCs w:val="24"/>
        </w:rPr>
        <w:t>% ，即人民币（大写）XXXXXXXXXXXXX（￥XXXX万元）。若乙方届时未提供全额合规发票，甲方付款期限顺延，且不承担任何责任。</w:t>
      </w:r>
    </w:p>
    <w:p w14:paraId="4270AC3B">
      <w:pPr>
        <w:widowControl/>
        <w:tabs>
          <w:tab w:val="left" w:pos="480"/>
        </w:tabs>
        <w:spacing w:line="360" w:lineRule="auto"/>
        <w:jc w:val="left"/>
        <w:rPr>
          <w:rFonts w:ascii="宋体" w:hAnsi="宋体" w:cs="宋体"/>
          <w:sz w:val="24"/>
          <w:szCs w:val="24"/>
        </w:rPr>
      </w:pPr>
      <w:r>
        <w:rPr>
          <w:rFonts w:hint="eastAsia" w:ascii="宋体" w:hAnsi="宋体" w:cs="宋体"/>
          <w:sz w:val="24"/>
          <w:szCs w:val="24"/>
        </w:rPr>
        <w:t>（二）合同总价的剩余部分 ，即人民币（大写）xxxxxx元整（￥xxxxxx万元），验收合格之日起，三年后甲方一次性无息支付。</w:t>
      </w:r>
    </w:p>
    <w:p w14:paraId="4CF90DA9">
      <w:pPr>
        <w:tabs>
          <w:tab w:val="left" w:pos="480"/>
        </w:tabs>
        <w:spacing w:line="360" w:lineRule="auto"/>
        <w:jc w:val="left"/>
        <w:rPr>
          <w:rFonts w:ascii="宋体" w:hAnsi="宋体" w:cs="宋体"/>
          <w:sz w:val="24"/>
          <w:szCs w:val="24"/>
        </w:rPr>
      </w:pPr>
      <w:r>
        <w:rPr>
          <w:rFonts w:hint="eastAsia" w:ascii="宋体" w:hAnsi="宋体" w:cs="宋体"/>
          <w:sz w:val="24"/>
          <w:szCs w:val="24"/>
        </w:rPr>
        <w:t>（三）支付方式：银行转账。</w:t>
      </w:r>
    </w:p>
    <w:p w14:paraId="2DAE3F63">
      <w:pPr>
        <w:tabs>
          <w:tab w:val="left" w:pos="480"/>
        </w:tabs>
        <w:spacing w:line="360" w:lineRule="auto"/>
        <w:jc w:val="left"/>
        <w:rPr>
          <w:rFonts w:ascii="宋体" w:hAnsi="宋体" w:cs="宋体"/>
          <w:sz w:val="24"/>
          <w:szCs w:val="24"/>
        </w:rPr>
      </w:pPr>
      <w:r>
        <w:rPr>
          <w:rFonts w:hint="eastAsia" w:ascii="宋体" w:hAnsi="宋体" w:cs="宋体"/>
          <w:sz w:val="24"/>
          <w:szCs w:val="24"/>
        </w:rPr>
        <w:t>（四）结算方式：</w:t>
      </w:r>
    </w:p>
    <w:p w14:paraId="01BB9500">
      <w:pPr>
        <w:tabs>
          <w:tab w:val="left" w:pos="480"/>
        </w:tabs>
        <w:spacing w:line="360" w:lineRule="auto"/>
        <w:ind w:firstLine="240" w:firstLineChars="100"/>
        <w:jc w:val="left"/>
        <w:rPr>
          <w:rFonts w:ascii="宋体" w:hAnsi="宋体" w:cs="宋体"/>
          <w:sz w:val="24"/>
          <w:szCs w:val="24"/>
        </w:rPr>
      </w:pPr>
      <w:r>
        <w:rPr>
          <w:rFonts w:hint="eastAsia" w:ascii="宋体" w:hAnsi="宋体" w:cs="宋体"/>
          <w:sz w:val="24"/>
          <w:szCs w:val="24"/>
        </w:rPr>
        <w:t>货物结算：乙方持货物验收合格单，全额合规发票（按合同标的物中的货物全款开甲方），中标通知书、供货合同，与甲方结算。</w:t>
      </w:r>
    </w:p>
    <w:p w14:paraId="0980941C">
      <w:pPr>
        <w:tabs>
          <w:tab w:val="left" w:pos="480"/>
        </w:tabs>
        <w:spacing w:line="360" w:lineRule="auto"/>
        <w:ind w:firstLine="120" w:firstLineChars="50"/>
        <w:jc w:val="left"/>
        <w:rPr>
          <w:rFonts w:ascii="宋体" w:hAnsi="宋体" w:cs="宋体"/>
          <w:sz w:val="24"/>
          <w:szCs w:val="24"/>
        </w:rPr>
      </w:pPr>
      <w:r>
        <w:rPr>
          <w:rFonts w:hint="eastAsia" w:ascii="宋体" w:hAnsi="宋体" w:cs="宋体"/>
          <w:sz w:val="24"/>
          <w:szCs w:val="24"/>
        </w:rPr>
        <w:t>服务结算：乙方持维修保养服务验收合格单，全额合规发票（按合同标的物中的原厂维修保养服务全款开甲方），货物验收单，供货合同，与甲方结算。</w:t>
      </w:r>
    </w:p>
    <w:p w14:paraId="431F5D6D">
      <w:pPr>
        <w:tabs>
          <w:tab w:val="left" w:pos="480"/>
        </w:tabs>
        <w:spacing w:line="360" w:lineRule="auto"/>
        <w:jc w:val="left"/>
        <w:rPr>
          <w:rFonts w:ascii="宋体" w:hAnsi="宋体" w:cs="宋体"/>
          <w:sz w:val="24"/>
          <w:szCs w:val="24"/>
        </w:rPr>
      </w:pPr>
      <w:r>
        <w:rPr>
          <w:rFonts w:hint="eastAsia" w:ascii="宋体" w:hAnsi="宋体" w:cs="宋体"/>
          <w:sz w:val="24"/>
          <w:szCs w:val="24"/>
        </w:rPr>
        <w:t>四、交货条件：</w:t>
      </w:r>
    </w:p>
    <w:p w14:paraId="3C58D24F">
      <w:pPr>
        <w:tabs>
          <w:tab w:val="left" w:pos="480"/>
        </w:tabs>
        <w:spacing w:line="360" w:lineRule="auto"/>
        <w:jc w:val="left"/>
        <w:rPr>
          <w:rFonts w:ascii="宋体" w:hAnsi="宋体" w:cs="宋体"/>
          <w:sz w:val="24"/>
          <w:szCs w:val="24"/>
        </w:rPr>
      </w:pPr>
      <w:r>
        <w:rPr>
          <w:rFonts w:hint="eastAsia" w:ascii="宋体" w:hAnsi="宋体" w:cs="宋体"/>
          <w:sz w:val="24"/>
          <w:szCs w:val="24"/>
        </w:rPr>
        <w:t>（一）交货地点：西安市第三医院指定地点。</w:t>
      </w:r>
    </w:p>
    <w:p w14:paraId="0F7CFFD2">
      <w:pPr>
        <w:tabs>
          <w:tab w:val="left" w:pos="480"/>
        </w:tabs>
        <w:spacing w:line="360" w:lineRule="auto"/>
        <w:jc w:val="left"/>
        <w:rPr>
          <w:rFonts w:ascii="宋体" w:hAnsi="宋体" w:cs="宋体"/>
          <w:sz w:val="24"/>
          <w:szCs w:val="24"/>
        </w:rPr>
      </w:pPr>
      <w:r>
        <w:rPr>
          <w:rFonts w:hint="eastAsia" w:ascii="宋体" w:hAnsi="宋体" w:cs="宋体"/>
          <w:sz w:val="24"/>
          <w:szCs w:val="24"/>
        </w:rPr>
        <w:t>（二）交货期：</w:t>
      </w:r>
    </w:p>
    <w:p w14:paraId="7E33FA06">
      <w:pPr>
        <w:tabs>
          <w:tab w:val="left" w:pos="480"/>
        </w:tabs>
        <w:spacing w:line="360" w:lineRule="auto"/>
        <w:jc w:val="left"/>
        <w:rPr>
          <w:rFonts w:ascii="宋体" w:hAnsi="宋体" w:cs="宋体"/>
          <w:sz w:val="24"/>
          <w:szCs w:val="24"/>
        </w:rPr>
      </w:pPr>
      <w:r>
        <w:rPr>
          <w:rFonts w:hint="eastAsia" w:ascii="宋体" w:hAnsi="宋体" w:cs="宋体"/>
          <w:sz w:val="24"/>
          <w:szCs w:val="24"/>
        </w:rPr>
        <w:t xml:space="preserve">    1、交货期：合同签订后国产设备XX个日历日；进口设备XX个日历日。不得延期。</w:t>
      </w:r>
    </w:p>
    <w:p w14:paraId="72D1EAED">
      <w:pPr>
        <w:tabs>
          <w:tab w:val="left" w:pos="480"/>
        </w:tabs>
        <w:spacing w:line="360" w:lineRule="auto"/>
        <w:jc w:val="left"/>
        <w:rPr>
          <w:rFonts w:ascii="宋体" w:hAnsi="宋体" w:cs="宋体"/>
          <w:sz w:val="24"/>
          <w:szCs w:val="24"/>
        </w:rPr>
      </w:pPr>
      <w:r>
        <w:rPr>
          <w:rFonts w:hint="eastAsia" w:ascii="宋体" w:hAnsi="宋体" w:cs="宋体"/>
          <w:sz w:val="24"/>
          <w:szCs w:val="24"/>
        </w:rPr>
        <w:t xml:space="preserve">    2、合同签订后，乙方即刻派遣场地工程师到达安装现场勘察，协助甲方基建规划完成场地建设，按照供货期要求组织货物到达、安装事宜。场地不满足安装验收条件时，由乙方保存货物，费用由乙方全部承担。</w:t>
      </w:r>
    </w:p>
    <w:p w14:paraId="7001B6BD">
      <w:pPr>
        <w:tabs>
          <w:tab w:val="left" w:pos="480"/>
        </w:tabs>
        <w:spacing w:line="360" w:lineRule="auto"/>
        <w:ind w:firstLine="240" w:firstLineChars="100"/>
        <w:jc w:val="left"/>
        <w:rPr>
          <w:rFonts w:ascii="宋体" w:hAnsi="宋体" w:cs="宋体"/>
          <w:sz w:val="24"/>
          <w:szCs w:val="24"/>
        </w:rPr>
      </w:pPr>
      <w:r>
        <w:rPr>
          <w:rFonts w:hint="eastAsia" w:ascii="宋体" w:hAnsi="宋体" w:cs="宋体"/>
          <w:sz w:val="24"/>
          <w:szCs w:val="24"/>
        </w:rPr>
        <w:t>3、如果乙方交货时间比合同约定的供货时间延迟，每推迟一天扣除合同总价款的1%；如果交货时间超过合同约定的供货时间十五天，视乙方根本违约，甲方享有单方解除合同权，合同自甲方书面解除通知送达乙方之日起解除。乙方还应按照本供货合同第十条第二款之约定承担违约责任。</w:t>
      </w:r>
    </w:p>
    <w:p w14:paraId="323EF35A">
      <w:pPr>
        <w:tabs>
          <w:tab w:val="left" w:pos="480"/>
        </w:tabs>
        <w:spacing w:line="360" w:lineRule="auto"/>
        <w:jc w:val="left"/>
        <w:rPr>
          <w:rFonts w:ascii="宋体" w:hAnsi="宋体" w:cs="宋体"/>
          <w:sz w:val="24"/>
          <w:szCs w:val="24"/>
        </w:rPr>
      </w:pPr>
      <w:r>
        <w:rPr>
          <w:rFonts w:hint="eastAsia" w:ascii="宋体" w:hAnsi="宋体" w:cs="宋体"/>
          <w:sz w:val="24"/>
          <w:szCs w:val="24"/>
        </w:rPr>
        <w:t>五、运输</w:t>
      </w:r>
    </w:p>
    <w:p w14:paraId="7BC08A38">
      <w:pPr>
        <w:tabs>
          <w:tab w:val="left" w:pos="480"/>
        </w:tabs>
        <w:spacing w:line="360" w:lineRule="auto"/>
        <w:jc w:val="left"/>
        <w:rPr>
          <w:rFonts w:ascii="宋体" w:hAnsi="宋体" w:cs="宋体"/>
          <w:sz w:val="24"/>
          <w:szCs w:val="24"/>
        </w:rPr>
      </w:pPr>
      <w:r>
        <w:rPr>
          <w:rFonts w:hint="eastAsia" w:ascii="宋体" w:hAnsi="宋体" w:cs="宋体"/>
          <w:sz w:val="24"/>
          <w:szCs w:val="24"/>
        </w:rPr>
        <w:t>（一）运输由乙方负责，运杂费已包含在合同总价内，包括从货物供应地点至交货地点所含的运输费、装卸费、仓储费、保险费等全部费用。</w:t>
      </w:r>
    </w:p>
    <w:p w14:paraId="380F830B">
      <w:pPr>
        <w:tabs>
          <w:tab w:val="left" w:pos="480"/>
        </w:tabs>
        <w:spacing w:line="360" w:lineRule="auto"/>
        <w:jc w:val="left"/>
        <w:rPr>
          <w:rFonts w:ascii="宋体" w:hAnsi="宋体" w:cs="宋体"/>
          <w:sz w:val="24"/>
          <w:szCs w:val="24"/>
        </w:rPr>
      </w:pPr>
      <w:r>
        <w:rPr>
          <w:rFonts w:hint="eastAsia" w:ascii="宋体" w:hAnsi="宋体" w:cs="宋体"/>
          <w:sz w:val="24"/>
          <w:szCs w:val="24"/>
        </w:rPr>
        <w:t>（二）运输方式由乙方自行选择，但必须保证按期交货。</w:t>
      </w:r>
    </w:p>
    <w:p w14:paraId="13CAFA76">
      <w:pPr>
        <w:tabs>
          <w:tab w:val="left" w:pos="480"/>
        </w:tabs>
        <w:spacing w:line="360" w:lineRule="auto"/>
        <w:jc w:val="left"/>
        <w:rPr>
          <w:rFonts w:ascii="宋体" w:hAnsi="宋体" w:cs="宋体"/>
          <w:sz w:val="24"/>
          <w:szCs w:val="24"/>
        </w:rPr>
      </w:pPr>
      <w:r>
        <w:rPr>
          <w:rFonts w:hint="eastAsia" w:ascii="宋体" w:hAnsi="宋体" w:cs="宋体"/>
          <w:sz w:val="24"/>
          <w:szCs w:val="24"/>
        </w:rPr>
        <w:t>（三）因运输产生的一切风险及质量问题均由乙方承担。</w:t>
      </w:r>
    </w:p>
    <w:p w14:paraId="156EB567">
      <w:pPr>
        <w:tabs>
          <w:tab w:val="left" w:pos="480"/>
        </w:tabs>
        <w:spacing w:line="360" w:lineRule="auto"/>
        <w:jc w:val="left"/>
        <w:rPr>
          <w:rFonts w:ascii="宋体" w:hAnsi="宋体" w:cs="宋体"/>
          <w:sz w:val="24"/>
          <w:szCs w:val="24"/>
        </w:rPr>
      </w:pPr>
      <w:r>
        <w:rPr>
          <w:rFonts w:hint="eastAsia" w:ascii="宋体" w:hAnsi="宋体" w:cs="宋体"/>
          <w:sz w:val="24"/>
          <w:szCs w:val="24"/>
        </w:rPr>
        <w:t>六、质量保证</w:t>
      </w:r>
    </w:p>
    <w:p w14:paraId="3BA1CD83">
      <w:pPr>
        <w:tabs>
          <w:tab w:val="left" w:pos="480"/>
        </w:tabs>
        <w:spacing w:line="360" w:lineRule="auto"/>
        <w:jc w:val="left"/>
        <w:rPr>
          <w:rFonts w:ascii="宋体" w:hAnsi="宋体" w:cs="宋体"/>
          <w:sz w:val="24"/>
          <w:szCs w:val="24"/>
        </w:rPr>
      </w:pPr>
      <w:r>
        <w:rPr>
          <w:rFonts w:hint="eastAsia" w:ascii="宋体" w:hAnsi="宋体" w:cs="宋体"/>
          <w:sz w:val="24"/>
          <w:szCs w:val="24"/>
        </w:rPr>
        <w:t>乙方所供货物必须执行下列条款：</w:t>
      </w:r>
    </w:p>
    <w:p w14:paraId="1972A3EC">
      <w:pPr>
        <w:tabs>
          <w:tab w:val="left" w:pos="480"/>
        </w:tabs>
        <w:spacing w:line="360" w:lineRule="auto"/>
        <w:jc w:val="left"/>
        <w:rPr>
          <w:rFonts w:ascii="宋体" w:hAnsi="宋体" w:cs="宋体"/>
          <w:sz w:val="24"/>
          <w:szCs w:val="24"/>
        </w:rPr>
      </w:pPr>
      <w:r>
        <w:rPr>
          <w:rFonts w:hint="eastAsia" w:ascii="宋体" w:hAnsi="宋体" w:cs="宋体"/>
          <w:sz w:val="24"/>
          <w:szCs w:val="24"/>
        </w:rPr>
        <w:t>（一）保证技术指标先进、产品全新、质量性能可靠、进货渠道正常，配置合理，全面满足招标文件要求。</w:t>
      </w:r>
    </w:p>
    <w:p w14:paraId="449979FB">
      <w:pPr>
        <w:tabs>
          <w:tab w:val="left" w:pos="480"/>
        </w:tabs>
        <w:spacing w:line="360" w:lineRule="auto"/>
        <w:jc w:val="left"/>
        <w:rPr>
          <w:rFonts w:ascii="宋体" w:hAnsi="宋体" w:cs="宋体"/>
          <w:sz w:val="24"/>
          <w:szCs w:val="24"/>
        </w:rPr>
      </w:pPr>
      <w:r>
        <w:rPr>
          <w:rFonts w:hint="eastAsia" w:ascii="宋体" w:hAnsi="宋体" w:cs="宋体"/>
          <w:sz w:val="24"/>
          <w:szCs w:val="24"/>
        </w:rPr>
        <w:t>（二）符合国家有关规范要求和标准，确保达到最佳运行状态，对于由于产品设计、工艺或材料的缺陷而产生的质量问题负责。</w:t>
      </w:r>
    </w:p>
    <w:p w14:paraId="25E46D2B">
      <w:pPr>
        <w:tabs>
          <w:tab w:val="left" w:pos="480"/>
        </w:tabs>
        <w:spacing w:line="360" w:lineRule="auto"/>
        <w:jc w:val="left"/>
        <w:rPr>
          <w:rFonts w:ascii="宋体" w:hAnsi="宋体" w:cs="宋体"/>
          <w:sz w:val="24"/>
          <w:szCs w:val="24"/>
        </w:rPr>
      </w:pPr>
      <w:r>
        <w:rPr>
          <w:rFonts w:hint="eastAsia" w:ascii="宋体" w:hAnsi="宋体" w:cs="宋体"/>
          <w:sz w:val="24"/>
          <w:szCs w:val="24"/>
        </w:rPr>
        <w:t>（三）具有良好的外观，适合安装场所的使用。</w:t>
      </w:r>
    </w:p>
    <w:p w14:paraId="45D1358B">
      <w:pPr>
        <w:tabs>
          <w:tab w:val="left" w:pos="480"/>
        </w:tabs>
        <w:spacing w:line="360" w:lineRule="auto"/>
        <w:jc w:val="left"/>
        <w:rPr>
          <w:rFonts w:ascii="宋体" w:hAnsi="宋体" w:cs="宋体"/>
          <w:sz w:val="24"/>
          <w:szCs w:val="24"/>
        </w:rPr>
      </w:pPr>
      <w:r>
        <w:rPr>
          <w:rFonts w:hint="eastAsia" w:ascii="宋体" w:hAnsi="宋体" w:cs="宋体"/>
          <w:sz w:val="24"/>
          <w:szCs w:val="24"/>
        </w:rPr>
        <w:t>（四）自安装、调试正常运行并验收合格之日起：</w:t>
      </w:r>
    </w:p>
    <w:p w14:paraId="3B75F251">
      <w:pPr>
        <w:tabs>
          <w:tab w:val="left" w:pos="480"/>
        </w:tabs>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1、原厂维修保养服务：提供原厂免费质保X年</w:t>
      </w:r>
      <w:r>
        <w:rPr>
          <w:rFonts w:hint="eastAsia" w:ascii="宋体" w:hAnsi="宋体" w:cs="宋体"/>
          <w:sz w:val="24"/>
          <w:szCs w:val="24"/>
        </w:rPr>
        <w:t>（提供原厂保修协议），同一主要部件出现质量问题经过两次维修后仍无法正常使用的，甲方有权立即要求</w:t>
      </w:r>
      <w:r>
        <w:rPr>
          <w:rFonts w:hint="eastAsia" w:ascii="宋体" w:hAnsi="宋体" w:cs="宋体"/>
          <w:color w:val="000000" w:themeColor="text1"/>
          <w:sz w:val="24"/>
          <w:szCs w:val="24"/>
          <w14:textFill>
            <w14:solidFill>
              <w14:schemeClr w14:val="tx1"/>
            </w14:solidFill>
          </w14:textFill>
        </w:rPr>
        <w:t>乙方免费更换同型号、同规格的产品，服务响应时间及解决方案按照本合同第七条“售后服务”中的约定执行；</w:t>
      </w:r>
      <w:r>
        <w:rPr>
          <w:rFonts w:hint="eastAsia" w:ascii="宋体" w:hAnsi="宋体"/>
          <w:color w:val="000000" w:themeColor="text1"/>
          <w:sz w:val="24"/>
          <w:szCs w:val="24"/>
          <w14:textFill>
            <w14:solidFill>
              <w14:schemeClr w14:val="tx1"/>
            </w14:solidFill>
          </w14:textFill>
        </w:rPr>
        <w:t>若乙方未按照上述约定期限内及时解决问题,造成甲方损失扩大的,乙方应就损失扩大部分承担全部赔偿责任。</w:t>
      </w:r>
      <w:r>
        <w:rPr>
          <w:rFonts w:hint="eastAsia" w:ascii="宋体" w:hAnsi="宋体" w:cs="宋体"/>
          <w:color w:val="000000" w:themeColor="text1"/>
          <w:sz w:val="24"/>
          <w:szCs w:val="24"/>
          <w14:textFill>
            <w14:solidFill>
              <w14:schemeClr w14:val="tx1"/>
            </w14:solidFill>
          </w14:textFill>
        </w:rPr>
        <w:t>终身免费维护。</w:t>
      </w:r>
    </w:p>
    <w:p w14:paraId="53F60771">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2、30天内，如出现质量问题，甲方可以选择换货或退货；</w:t>
      </w:r>
    </w:p>
    <w:p w14:paraId="1AD1FF5D">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3、7天内，如出现质量问题，甲方可选择换货。</w:t>
      </w:r>
    </w:p>
    <w:p w14:paraId="05BF98EE">
      <w:pPr>
        <w:tabs>
          <w:tab w:val="left" w:pos="480"/>
        </w:tabs>
        <w:spacing w:line="360" w:lineRule="auto"/>
        <w:rPr>
          <w:rFonts w:ascii="宋体" w:hAnsi="宋体" w:cs="宋体"/>
          <w:sz w:val="24"/>
          <w:szCs w:val="24"/>
        </w:rPr>
      </w:pPr>
      <w:r>
        <w:rPr>
          <w:rFonts w:hint="eastAsia" w:ascii="宋体" w:hAnsi="宋体" w:cs="宋体"/>
          <w:sz w:val="24"/>
          <w:szCs w:val="24"/>
        </w:rPr>
        <w:t>（五）保证设备后期可与甲方各类信息化网络系统免费无缝链接</w:t>
      </w:r>
    </w:p>
    <w:p w14:paraId="56F2F8A3">
      <w:pPr>
        <w:spacing w:line="360" w:lineRule="auto"/>
        <w:rPr>
          <w:rFonts w:ascii="宋体" w:hAnsi="宋体" w:cs="宋体"/>
          <w:b/>
          <w:sz w:val="24"/>
          <w:szCs w:val="24"/>
        </w:rPr>
      </w:pPr>
      <w:r>
        <w:rPr>
          <w:rFonts w:hint="eastAsia" w:ascii="宋体" w:hAnsi="宋体" w:cs="宋体"/>
          <w:b/>
          <w:sz w:val="24"/>
          <w:szCs w:val="24"/>
        </w:rPr>
        <w:t>七、售后服务</w:t>
      </w:r>
    </w:p>
    <w:p w14:paraId="76578600">
      <w:pPr>
        <w:spacing w:line="360" w:lineRule="auto"/>
        <w:ind w:firstLine="480" w:firstLineChars="200"/>
        <w:rPr>
          <w:rFonts w:ascii="宋体" w:hAnsi="宋体" w:cs="宋体"/>
          <w:b/>
          <w:sz w:val="24"/>
          <w:szCs w:val="24"/>
        </w:rPr>
      </w:pPr>
      <w:r>
        <w:rPr>
          <w:rFonts w:hint="eastAsia" w:ascii="宋体" w:hAnsi="宋体" w:cs="宋体"/>
          <w:sz w:val="24"/>
          <w:szCs w:val="24"/>
        </w:rPr>
        <w:t>乙方为所供货物提供以下售后服务：</w:t>
      </w:r>
    </w:p>
    <w:p w14:paraId="44CEE30A">
      <w:pPr>
        <w:spacing w:line="360" w:lineRule="auto"/>
        <w:rPr>
          <w:rFonts w:ascii="宋体" w:hAnsi="宋体" w:cs="宋体"/>
          <w:sz w:val="24"/>
          <w:szCs w:val="24"/>
        </w:rPr>
      </w:pPr>
      <w:r>
        <w:rPr>
          <w:rFonts w:hint="eastAsia" w:ascii="宋体" w:hAnsi="宋体" w:cs="宋体"/>
          <w:sz w:val="24"/>
          <w:szCs w:val="24"/>
        </w:rPr>
        <w:t>（一）</w:t>
      </w:r>
      <w:r>
        <w:rPr>
          <w:rFonts w:hint="eastAsia" w:ascii="宋体" w:hAnsi="宋体" w:cs="宋体"/>
          <w:color w:val="000000" w:themeColor="text1"/>
          <w:sz w:val="24"/>
          <w:szCs w:val="24"/>
          <w14:textFill>
            <w14:solidFill>
              <w14:schemeClr w14:val="tx1"/>
            </w14:solidFill>
          </w14:textFill>
        </w:rPr>
        <w:t>原厂维修保养服务期内</w:t>
      </w:r>
      <w:r>
        <w:rPr>
          <w:rFonts w:hint="eastAsia" w:ascii="宋体" w:hAnsi="宋体" w:cs="宋体"/>
          <w:sz w:val="24"/>
          <w:szCs w:val="24"/>
        </w:rPr>
        <w:t>：</w:t>
      </w:r>
    </w:p>
    <w:p w14:paraId="0A2310F4">
      <w:pPr>
        <w:spacing w:line="360" w:lineRule="auto"/>
        <w:ind w:firstLine="480" w:firstLineChars="200"/>
        <w:rPr>
          <w:rFonts w:ascii="宋体" w:hAnsi="宋体" w:cs="宋体"/>
          <w:sz w:val="24"/>
          <w:szCs w:val="24"/>
        </w:rPr>
      </w:pPr>
      <w:r>
        <w:rPr>
          <w:rFonts w:hint="eastAsia" w:ascii="宋体" w:hAnsi="宋体" w:cs="宋体"/>
          <w:sz w:val="24"/>
          <w:szCs w:val="24"/>
        </w:rPr>
        <w:t>1、发生质量问题，接到甲方通知后，应于2小时内派出专业的维修人员到现场进行检测维修，发生的全部费用由乙方承担，若需送回生产厂，乙方承担由此产生的一切费用；</w:t>
      </w:r>
    </w:p>
    <w:p w14:paraId="1FF07A19">
      <w:pPr>
        <w:spacing w:line="360" w:lineRule="auto"/>
        <w:ind w:firstLine="480" w:firstLineChars="200"/>
        <w:rPr>
          <w:rFonts w:ascii="宋体" w:hAnsi="宋体" w:cs="宋体"/>
          <w:sz w:val="24"/>
          <w:szCs w:val="24"/>
        </w:rPr>
      </w:pPr>
      <w:r>
        <w:rPr>
          <w:rFonts w:hint="eastAsia" w:ascii="宋体" w:hAnsi="宋体" w:cs="宋体"/>
          <w:sz w:val="24"/>
          <w:szCs w:val="24"/>
        </w:rPr>
        <w:t>2、每年四次派技术人员到现场走访，给予检查维护；</w:t>
      </w:r>
    </w:p>
    <w:p w14:paraId="306F4E79">
      <w:pPr>
        <w:spacing w:line="360" w:lineRule="auto"/>
        <w:ind w:firstLine="480" w:firstLineChars="200"/>
        <w:rPr>
          <w:rFonts w:ascii="宋体" w:hAnsi="宋体" w:cs="宋体"/>
          <w:sz w:val="24"/>
          <w:szCs w:val="24"/>
        </w:rPr>
      </w:pPr>
      <w:r>
        <w:rPr>
          <w:rFonts w:hint="eastAsia" w:ascii="宋体" w:hAnsi="宋体" w:cs="宋体"/>
          <w:sz w:val="24"/>
          <w:szCs w:val="24"/>
        </w:rPr>
        <w:t>3、排除故障的期限不超过24小时。否则甲方有权指定第三方维修，维修费用由乙方承担，直接从</w:t>
      </w:r>
      <w:r>
        <w:rPr>
          <w:rFonts w:hint="eastAsia" w:ascii="宋体" w:hAnsi="宋体" w:cs="宋体"/>
          <w:color w:val="000000" w:themeColor="text1"/>
          <w:sz w:val="24"/>
          <w:szCs w:val="24"/>
          <w14:textFill>
            <w14:solidFill>
              <w14:schemeClr w14:val="tx1"/>
            </w14:solidFill>
          </w14:textFill>
        </w:rPr>
        <w:t>原厂维修保养服务费用</w:t>
      </w:r>
      <w:r>
        <w:rPr>
          <w:rFonts w:hint="eastAsia" w:ascii="宋体" w:hAnsi="宋体" w:cs="宋体"/>
          <w:sz w:val="24"/>
          <w:szCs w:val="24"/>
        </w:rPr>
        <w:t>中扣除，</w:t>
      </w:r>
      <w:r>
        <w:rPr>
          <w:rFonts w:hint="eastAsia" w:ascii="宋体" w:hAnsi="宋体" w:cs="宋体"/>
          <w:color w:val="000000" w:themeColor="text1"/>
          <w:sz w:val="24"/>
          <w:szCs w:val="24"/>
          <w14:textFill>
            <w14:solidFill>
              <w14:schemeClr w14:val="tx1"/>
            </w14:solidFill>
          </w14:textFill>
        </w:rPr>
        <w:t>此项费用</w:t>
      </w:r>
      <w:r>
        <w:rPr>
          <w:rFonts w:hint="eastAsia" w:ascii="宋体" w:hAnsi="宋体" w:cs="宋体"/>
          <w:sz w:val="24"/>
          <w:szCs w:val="24"/>
        </w:rPr>
        <w:t>已付或无法支付全部维修费用的，超出部分由乙方另行承担。</w:t>
      </w:r>
    </w:p>
    <w:p w14:paraId="2A716011">
      <w:pPr>
        <w:spacing w:line="360" w:lineRule="auto"/>
        <w:rPr>
          <w:rFonts w:ascii="宋体" w:hAnsi="宋体" w:cs="宋体"/>
          <w:sz w:val="24"/>
          <w:szCs w:val="24"/>
        </w:rPr>
      </w:pPr>
      <w:r>
        <w:rPr>
          <w:rFonts w:hint="eastAsia" w:ascii="宋体" w:hAnsi="宋体" w:cs="宋体"/>
          <w:sz w:val="24"/>
          <w:szCs w:val="24"/>
        </w:rPr>
        <w:t>（二）服务期结束前，乙方进行系统测试，全面保养维护，确保正常运行。</w:t>
      </w:r>
    </w:p>
    <w:p w14:paraId="3243D2A3">
      <w:pPr>
        <w:tabs>
          <w:tab w:val="left" w:pos="480"/>
        </w:tabs>
        <w:spacing w:line="360" w:lineRule="auto"/>
        <w:rPr>
          <w:rFonts w:ascii="宋体" w:hAnsi="宋体" w:cs="宋体"/>
          <w:b/>
          <w:sz w:val="24"/>
          <w:szCs w:val="24"/>
        </w:rPr>
      </w:pPr>
      <w:r>
        <w:rPr>
          <w:rFonts w:hint="eastAsia" w:ascii="宋体" w:hAnsi="宋体" w:cs="宋体"/>
          <w:b/>
          <w:sz w:val="24"/>
          <w:szCs w:val="24"/>
        </w:rPr>
        <w:t>八、技术与服务</w:t>
      </w:r>
    </w:p>
    <w:p w14:paraId="2588D31C">
      <w:pPr>
        <w:tabs>
          <w:tab w:val="left" w:pos="480"/>
        </w:tabs>
        <w:spacing w:line="360" w:lineRule="auto"/>
        <w:rPr>
          <w:rFonts w:ascii="宋体" w:hAnsi="宋体" w:cs="宋体"/>
          <w:sz w:val="24"/>
          <w:szCs w:val="24"/>
        </w:rPr>
      </w:pPr>
      <w:r>
        <w:rPr>
          <w:rFonts w:hint="eastAsia" w:ascii="宋体" w:hAnsi="宋体" w:cs="宋体"/>
          <w:sz w:val="24"/>
          <w:szCs w:val="24"/>
        </w:rPr>
        <w:t>（一）技术资料：</w:t>
      </w:r>
    </w:p>
    <w:p w14:paraId="24DA3607">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1、货物合格证；</w:t>
      </w:r>
    </w:p>
    <w:p w14:paraId="6EC1D7E5">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2、货物使用说明书（中文）；</w:t>
      </w:r>
    </w:p>
    <w:p w14:paraId="377104BF">
      <w:pPr>
        <w:tabs>
          <w:tab w:val="left" w:pos="480"/>
        </w:tabs>
        <w:spacing w:line="360" w:lineRule="auto"/>
        <w:ind w:firstLine="480" w:firstLineChars="200"/>
        <w:rPr>
          <w:rFonts w:ascii="宋体" w:hAnsi="宋体" w:cs="宋体"/>
          <w:sz w:val="24"/>
          <w:szCs w:val="24"/>
        </w:rPr>
      </w:pPr>
      <w:r>
        <w:rPr>
          <w:rFonts w:ascii="宋体" w:hAnsi="宋体" w:cs="宋体"/>
          <w:sz w:val="24"/>
          <w:szCs w:val="24"/>
        </w:rPr>
        <w:t>3</w:t>
      </w:r>
      <w:r>
        <w:rPr>
          <w:rFonts w:hint="eastAsia" w:ascii="宋体" w:hAnsi="宋体" w:cs="宋体"/>
          <w:sz w:val="24"/>
          <w:szCs w:val="24"/>
        </w:rPr>
        <w:t>、进口货物商检证明和报关单；</w:t>
      </w:r>
    </w:p>
    <w:p w14:paraId="1A585628">
      <w:pPr>
        <w:tabs>
          <w:tab w:val="left" w:pos="480"/>
        </w:tabs>
        <w:spacing w:line="360" w:lineRule="auto"/>
        <w:ind w:firstLine="480" w:firstLineChars="200"/>
        <w:rPr>
          <w:rFonts w:ascii="宋体" w:hAnsi="宋体" w:cs="宋体"/>
          <w:sz w:val="24"/>
          <w:szCs w:val="24"/>
        </w:rPr>
      </w:pPr>
      <w:r>
        <w:rPr>
          <w:rFonts w:ascii="宋体" w:hAnsi="宋体" w:cs="宋体"/>
          <w:sz w:val="24"/>
          <w:szCs w:val="24"/>
        </w:rPr>
        <w:t>4</w:t>
      </w:r>
      <w:r>
        <w:rPr>
          <w:rFonts w:hint="eastAsia" w:ascii="宋体" w:hAnsi="宋体" w:cs="宋体"/>
          <w:sz w:val="24"/>
          <w:szCs w:val="24"/>
        </w:rPr>
        <w:t>、乙方提供相关部门出具的检验测试报告；</w:t>
      </w:r>
    </w:p>
    <w:p w14:paraId="49CDCD62">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5、其它资料。</w:t>
      </w:r>
    </w:p>
    <w:p w14:paraId="1FF64DAF">
      <w:pPr>
        <w:tabs>
          <w:tab w:val="left" w:pos="480"/>
        </w:tabs>
        <w:spacing w:line="360" w:lineRule="auto"/>
        <w:rPr>
          <w:rFonts w:ascii="宋体" w:hAnsi="宋体" w:cs="宋体"/>
          <w:sz w:val="24"/>
          <w:szCs w:val="24"/>
        </w:rPr>
      </w:pPr>
      <w:r>
        <w:rPr>
          <w:rFonts w:hint="eastAsia" w:ascii="宋体" w:hAnsi="宋体" w:cs="宋体"/>
          <w:sz w:val="24"/>
          <w:szCs w:val="24"/>
        </w:rPr>
        <w:t>（二）培训：乙方须在设备安装调试完成后对甲方操作人员进行完整使用、保养等培训，是否完成培训视为货物验收必备条件之一；</w:t>
      </w:r>
    </w:p>
    <w:p w14:paraId="3F1AA9CA">
      <w:pPr>
        <w:tabs>
          <w:tab w:val="left" w:pos="480"/>
        </w:tabs>
        <w:spacing w:line="360" w:lineRule="auto"/>
        <w:rPr>
          <w:rFonts w:ascii="宋体" w:hAnsi="宋体" w:cs="宋体"/>
          <w:sz w:val="24"/>
          <w:szCs w:val="24"/>
        </w:rPr>
      </w:pPr>
      <w:r>
        <w:rPr>
          <w:rFonts w:hint="eastAsia" w:ascii="宋体" w:hAnsi="宋体" w:cs="宋体"/>
          <w:sz w:val="24"/>
          <w:szCs w:val="24"/>
        </w:rPr>
        <w:t>（三）服务承诺：以投标文件、澄清表（函）、合同和随货物的相关文件为准。</w:t>
      </w:r>
    </w:p>
    <w:p w14:paraId="7205056A">
      <w:pPr>
        <w:tabs>
          <w:tab w:val="left" w:pos="480"/>
        </w:tabs>
        <w:spacing w:line="360" w:lineRule="auto"/>
        <w:rPr>
          <w:rFonts w:ascii="宋体" w:hAnsi="宋体" w:cs="宋体"/>
          <w:b/>
          <w:sz w:val="24"/>
          <w:szCs w:val="24"/>
        </w:rPr>
      </w:pPr>
      <w:r>
        <w:rPr>
          <w:rFonts w:hint="eastAsia" w:ascii="宋体" w:hAnsi="宋体" w:cs="宋体"/>
          <w:b/>
          <w:sz w:val="24"/>
          <w:szCs w:val="24"/>
        </w:rPr>
        <w:t>九、验收</w:t>
      </w:r>
    </w:p>
    <w:p w14:paraId="59A7A2C4">
      <w:pPr>
        <w:tabs>
          <w:tab w:val="left" w:pos="480"/>
        </w:tabs>
        <w:spacing w:line="360" w:lineRule="auto"/>
        <w:rPr>
          <w:rFonts w:ascii="宋体" w:hAnsi="宋体" w:cs="宋体"/>
          <w:sz w:val="24"/>
          <w:szCs w:val="24"/>
        </w:rPr>
      </w:pPr>
      <w:r>
        <w:rPr>
          <w:rFonts w:hint="eastAsia" w:ascii="宋体" w:hAnsi="宋体" w:cs="宋体"/>
          <w:sz w:val="24"/>
          <w:szCs w:val="24"/>
        </w:rPr>
        <w:t>（一）货物到达甲方指定地点后，甲方根据合同要求，进行外观验收，确认产地、规格、型号和数量。甲乙双方需在约定的时间和地点共同开箱检验。</w:t>
      </w:r>
    </w:p>
    <w:p w14:paraId="55FB2953">
      <w:pPr>
        <w:tabs>
          <w:tab w:val="left" w:pos="480"/>
        </w:tabs>
        <w:spacing w:line="360" w:lineRule="auto"/>
        <w:rPr>
          <w:rFonts w:ascii="宋体" w:hAnsi="宋体" w:cs="宋体"/>
          <w:sz w:val="24"/>
          <w:szCs w:val="24"/>
        </w:rPr>
      </w:pPr>
      <w:r>
        <w:rPr>
          <w:rFonts w:hint="eastAsia" w:ascii="宋体" w:hAnsi="宋体" w:cs="宋体"/>
          <w:sz w:val="24"/>
          <w:szCs w:val="24"/>
        </w:rPr>
        <w:t>（二）货物安装、调试过程中，属于国家计量法规定需要检测的设备及配件，乙方需提供计量检测部门的检测报告，属于特种设备的，乙方需办理注册登记和使用许可，而后能够正常使用时书面通知甲方。</w:t>
      </w:r>
    </w:p>
    <w:p w14:paraId="12C38114">
      <w:pPr>
        <w:tabs>
          <w:tab w:val="left" w:pos="480"/>
        </w:tabs>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sz w:val="24"/>
          <w:szCs w:val="24"/>
        </w:rPr>
        <w:t>（三）</w:t>
      </w:r>
      <w:r>
        <w:rPr>
          <w:rFonts w:hint="eastAsia" w:ascii="宋体" w:hAnsi="宋体" w:cs="宋体"/>
          <w:color w:val="000000" w:themeColor="text1"/>
          <w:sz w:val="24"/>
          <w:szCs w:val="24"/>
          <w14:textFill>
            <w14:solidFill>
              <w14:schemeClr w14:val="tx1"/>
            </w14:solidFill>
          </w14:textFill>
        </w:rPr>
        <w:t>乙方向甲方提交原厂质保证明文件，要求覆盖乙方所承诺的全部原厂维修保养服务期限。</w:t>
      </w:r>
    </w:p>
    <w:p w14:paraId="74257821">
      <w:pPr>
        <w:tabs>
          <w:tab w:val="left" w:pos="480"/>
        </w:tabs>
        <w:spacing w:line="360" w:lineRule="auto"/>
        <w:rPr>
          <w:rFonts w:ascii="宋体" w:hAnsi="宋体" w:cs="宋体"/>
          <w:sz w:val="24"/>
          <w:szCs w:val="24"/>
        </w:rPr>
      </w:pPr>
      <w:r>
        <w:rPr>
          <w:rFonts w:hint="eastAsia" w:ascii="宋体" w:hAnsi="宋体" w:cs="宋体"/>
          <w:sz w:val="24"/>
          <w:szCs w:val="24"/>
        </w:rPr>
        <w:t>（四）甲方确认接收乙方的自检内容后，进行验收，验收合格后，由乙方对甲方操作人员进行培训，完成培训后，甲方填写</w:t>
      </w:r>
      <w:r>
        <w:rPr>
          <w:rFonts w:hint="eastAsia" w:ascii="宋体" w:hAnsi="宋体" w:cs="宋体"/>
          <w:bCs/>
          <w:sz w:val="24"/>
          <w:szCs w:val="24"/>
        </w:rPr>
        <w:t>验收单</w:t>
      </w:r>
      <w:r>
        <w:rPr>
          <w:rFonts w:hint="eastAsia" w:ascii="宋体" w:hAnsi="宋体" w:cs="宋体"/>
          <w:sz w:val="24"/>
          <w:szCs w:val="24"/>
        </w:rPr>
        <w:t>作为对货物的最终认可。</w:t>
      </w:r>
    </w:p>
    <w:p w14:paraId="2C85F683">
      <w:pPr>
        <w:tabs>
          <w:tab w:val="left" w:pos="480"/>
        </w:tabs>
        <w:spacing w:line="360" w:lineRule="auto"/>
        <w:rPr>
          <w:rFonts w:ascii="宋体" w:hAnsi="宋体" w:cs="宋体"/>
          <w:sz w:val="24"/>
          <w:szCs w:val="24"/>
        </w:rPr>
      </w:pPr>
      <w:r>
        <w:rPr>
          <w:rFonts w:hint="eastAsia" w:ascii="宋体" w:hAnsi="宋体" w:cs="宋体"/>
          <w:sz w:val="24"/>
          <w:szCs w:val="24"/>
        </w:rPr>
        <w:t>（五）乙方向甲方提交货物实施过程中的所有资料，以便甲方日后管理和维护。</w:t>
      </w:r>
    </w:p>
    <w:p w14:paraId="5929DA57">
      <w:pPr>
        <w:tabs>
          <w:tab w:val="left" w:pos="480"/>
        </w:tabs>
        <w:spacing w:line="360" w:lineRule="auto"/>
        <w:rPr>
          <w:rFonts w:ascii="宋体" w:hAnsi="宋体" w:cs="宋体"/>
          <w:sz w:val="24"/>
          <w:szCs w:val="24"/>
        </w:rPr>
      </w:pPr>
      <w:r>
        <w:rPr>
          <w:rFonts w:hint="eastAsia" w:ascii="宋体" w:hAnsi="宋体" w:cs="宋体"/>
          <w:bCs/>
          <w:sz w:val="24"/>
          <w:szCs w:val="24"/>
        </w:rPr>
        <w:t>（六）</w:t>
      </w:r>
      <w:r>
        <w:rPr>
          <w:rFonts w:hint="eastAsia" w:ascii="宋体" w:hAnsi="宋体" w:cs="宋体"/>
          <w:sz w:val="24"/>
          <w:szCs w:val="24"/>
        </w:rPr>
        <w:t>验收依据：</w:t>
      </w:r>
    </w:p>
    <w:p w14:paraId="793B6505">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1、本合同及合同附件。</w:t>
      </w:r>
    </w:p>
    <w:p w14:paraId="7A50FB73">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2、国家相应的标准、规范。</w:t>
      </w:r>
    </w:p>
    <w:p w14:paraId="7E76AC7F">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3、竞争性招标文件、投标文件、澄清表（函）。</w:t>
      </w:r>
    </w:p>
    <w:p w14:paraId="107283EA">
      <w:pPr>
        <w:tabs>
          <w:tab w:val="left" w:pos="480"/>
        </w:tabs>
        <w:spacing w:line="360" w:lineRule="auto"/>
        <w:rPr>
          <w:rFonts w:ascii="宋体" w:hAnsi="宋体" w:cs="宋体"/>
          <w:b/>
          <w:sz w:val="24"/>
          <w:szCs w:val="24"/>
        </w:rPr>
      </w:pPr>
      <w:r>
        <w:rPr>
          <w:rFonts w:hint="eastAsia" w:ascii="宋体" w:hAnsi="宋体" w:cs="宋体"/>
          <w:b/>
          <w:sz w:val="24"/>
          <w:szCs w:val="24"/>
        </w:rPr>
        <w:t>十、违约责任</w:t>
      </w:r>
    </w:p>
    <w:p w14:paraId="5E202411">
      <w:pPr>
        <w:tabs>
          <w:tab w:val="left" w:pos="480"/>
        </w:tabs>
        <w:spacing w:line="360" w:lineRule="auto"/>
        <w:rPr>
          <w:rFonts w:ascii="宋体" w:hAnsi="宋体" w:cs="宋体"/>
          <w:sz w:val="24"/>
          <w:szCs w:val="24"/>
        </w:rPr>
      </w:pPr>
      <w:r>
        <w:rPr>
          <w:rFonts w:hint="eastAsia" w:ascii="宋体" w:hAnsi="宋体" w:cs="宋体"/>
          <w:sz w:val="24"/>
          <w:szCs w:val="24"/>
        </w:rPr>
        <w:t>（一）按《政府采购法》、《中华人民共和国民法典》中的相关条款执行。</w:t>
      </w:r>
    </w:p>
    <w:p w14:paraId="3A0908BC">
      <w:pPr>
        <w:tabs>
          <w:tab w:val="left" w:pos="480"/>
        </w:tabs>
        <w:spacing w:line="360" w:lineRule="auto"/>
        <w:rPr>
          <w:rFonts w:ascii="宋体" w:hAnsi="宋体" w:cs="宋体"/>
          <w:sz w:val="24"/>
          <w:szCs w:val="24"/>
        </w:rPr>
      </w:pPr>
      <w:r>
        <w:rPr>
          <w:rFonts w:hint="eastAsia" w:ascii="宋体" w:hAnsi="宋体" w:cs="宋体"/>
          <w:sz w:val="24"/>
          <w:szCs w:val="24"/>
        </w:rPr>
        <w:t>（二）未按合同要求提供货物、质保服务或质量不能满足招标文件技术要求，在约定的条件下，乙方必须无条件更换，提高技术，完善质量，提供质保服务，否则，甲方有权解除合同，解除合同书面通知书到达乙方之日视为合同已解除，并按以下两种方式追究乙方的违约责任：</w:t>
      </w:r>
    </w:p>
    <w:p w14:paraId="4104A499">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1、乙方赔偿甲方解除合同的全部损失（包括但不限于重新采购产生的费用、合同未履行导致设备不能按规划交付使用可能产生的租赁费用及其它由此造成的甲方对第三方的违约损失）；</w:t>
      </w:r>
    </w:p>
    <w:p w14:paraId="79C67D8B">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2、乙方支付甲方违约金，违约金计算方法：以合同总价为基数，支付甲方合同总价的30%为违约金，同时，对乙方的违约行为报监管机构进行相应的处罚。</w:t>
      </w:r>
    </w:p>
    <w:p w14:paraId="588DB292">
      <w:pPr>
        <w:tabs>
          <w:tab w:val="left" w:pos="480"/>
        </w:tabs>
        <w:spacing w:line="360" w:lineRule="auto"/>
        <w:rPr>
          <w:rFonts w:ascii="宋体" w:hAnsi="宋体" w:cs="宋体"/>
          <w:b/>
          <w:sz w:val="24"/>
          <w:szCs w:val="24"/>
        </w:rPr>
      </w:pPr>
      <w:r>
        <w:rPr>
          <w:rFonts w:hint="eastAsia" w:ascii="宋体" w:hAnsi="宋体" w:cs="宋体"/>
          <w:b/>
          <w:sz w:val="24"/>
          <w:szCs w:val="24"/>
        </w:rPr>
        <w:t>十一、合同争议解决的方式</w:t>
      </w:r>
    </w:p>
    <w:p w14:paraId="49E3B769">
      <w:pPr>
        <w:tabs>
          <w:tab w:val="left" w:pos="480"/>
        </w:tabs>
        <w:spacing w:line="360" w:lineRule="auto"/>
        <w:ind w:firstLine="480" w:firstLineChars="200"/>
        <w:rPr>
          <w:rFonts w:ascii="宋体" w:hAnsi="宋体" w:cs="宋体"/>
          <w:color w:val="0000FF"/>
          <w:sz w:val="24"/>
          <w:szCs w:val="24"/>
        </w:rPr>
      </w:pPr>
      <w:r>
        <w:rPr>
          <w:rFonts w:hint="eastAsia" w:ascii="宋体" w:hAnsi="宋体" w:cs="宋体"/>
          <w:sz w:val="24"/>
          <w:szCs w:val="24"/>
        </w:rPr>
        <w:t>本合同在履行过程中发生的争议，由甲、乙双方当事人协商解决，协商不成的依法向甲方所在地人民法院起诉。</w:t>
      </w:r>
    </w:p>
    <w:p w14:paraId="671FB8D7">
      <w:pPr>
        <w:tabs>
          <w:tab w:val="left" w:pos="480"/>
        </w:tabs>
        <w:spacing w:line="360" w:lineRule="auto"/>
        <w:rPr>
          <w:rFonts w:ascii="宋体" w:hAnsi="宋体" w:cs="宋体"/>
          <w:b/>
          <w:sz w:val="24"/>
          <w:szCs w:val="24"/>
        </w:rPr>
      </w:pPr>
      <w:r>
        <w:rPr>
          <w:rFonts w:hint="eastAsia" w:ascii="宋体" w:hAnsi="宋体" w:cs="宋体"/>
          <w:b/>
          <w:sz w:val="24"/>
          <w:szCs w:val="24"/>
        </w:rPr>
        <w:t>十二、合同生效</w:t>
      </w:r>
    </w:p>
    <w:p w14:paraId="36BD3DAE">
      <w:pPr>
        <w:tabs>
          <w:tab w:val="left" w:pos="480"/>
        </w:tabs>
        <w:spacing w:line="360" w:lineRule="auto"/>
        <w:ind w:firstLine="480" w:firstLineChars="200"/>
        <w:rPr>
          <w:rFonts w:ascii="宋体" w:hAnsi="宋体" w:cs="宋体"/>
          <w:sz w:val="24"/>
          <w:szCs w:val="24"/>
        </w:rPr>
      </w:pPr>
      <w:bookmarkStart w:id="0" w:name="_Hlk527448041"/>
      <w:r>
        <w:rPr>
          <w:rFonts w:hint="eastAsia" w:ascii="宋体" w:hAnsi="宋体" w:cs="宋体"/>
          <w:sz w:val="24"/>
          <w:szCs w:val="24"/>
        </w:rPr>
        <w:t>本合同一式伍份，甲方肆份，乙方壹份，本合同自甲方、乙方双方签字盖章之日起生效，</w:t>
      </w:r>
      <w:r>
        <w:rPr>
          <w:rFonts w:hint="eastAsia" w:ascii="宋体" w:hAnsi="宋体" w:cs="宋体"/>
          <w:color w:val="000000" w:themeColor="text1"/>
          <w:sz w:val="24"/>
          <w:szCs w:val="24"/>
          <w14:textFill>
            <w14:solidFill>
              <w14:schemeClr w14:val="tx1"/>
            </w14:solidFill>
          </w14:textFill>
        </w:rPr>
        <w:t>原厂维修保养服务</w:t>
      </w:r>
      <w:r>
        <w:rPr>
          <w:rFonts w:hint="eastAsia" w:ascii="宋体" w:hAnsi="宋体" w:cs="宋体"/>
          <w:sz w:val="24"/>
          <w:szCs w:val="24"/>
        </w:rPr>
        <w:t>期结束后，自动终止（但合同的服务承诺除外）。</w:t>
      </w:r>
    </w:p>
    <w:bookmarkEnd w:id="0"/>
    <w:p w14:paraId="1434F4AE">
      <w:pPr>
        <w:tabs>
          <w:tab w:val="left" w:pos="480"/>
        </w:tabs>
        <w:spacing w:line="360" w:lineRule="auto"/>
        <w:rPr>
          <w:rFonts w:ascii="宋体" w:hAnsi="宋体" w:cs="宋体"/>
          <w:b/>
          <w:sz w:val="24"/>
          <w:szCs w:val="24"/>
        </w:rPr>
      </w:pPr>
      <w:r>
        <w:rPr>
          <w:rFonts w:hint="eastAsia" w:ascii="宋体" w:hAnsi="宋体" w:cs="宋体"/>
          <w:b/>
          <w:sz w:val="24"/>
          <w:szCs w:val="24"/>
        </w:rPr>
        <w:t>十三、其他事项</w:t>
      </w:r>
    </w:p>
    <w:p w14:paraId="31E83B8A">
      <w:pPr>
        <w:tabs>
          <w:tab w:val="left" w:pos="480"/>
        </w:tabs>
        <w:spacing w:line="360" w:lineRule="auto"/>
        <w:rPr>
          <w:rFonts w:ascii="宋体" w:hAnsi="宋体" w:cs="宋体"/>
          <w:sz w:val="24"/>
          <w:szCs w:val="24"/>
        </w:rPr>
      </w:pPr>
      <w:r>
        <w:rPr>
          <w:rFonts w:hint="eastAsia" w:ascii="宋体" w:hAnsi="宋体" w:cs="宋体"/>
          <w:sz w:val="24"/>
          <w:szCs w:val="24"/>
        </w:rPr>
        <w:t>（一）西安市财政局政府采购管理处在合同的履行期间以及履行期后，可以随时检查项目的执行情况，对采购内容、标准进行调查核实，并对发现的问题进行处理。</w:t>
      </w:r>
    </w:p>
    <w:p w14:paraId="50AAA0CD">
      <w:pPr>
        <w:tabs>
          <w:tab w:val="left" w:pos="480"/>
        </w:tabs>
        <w:spacing w:line="360" w:lineRule="auto"/>
        <w:rPr>
          <w:rFonts w:ascii="宋体" w:hAnsi="宋体" w:cs="宋体"/>
          <w:sz w:val="24"/>
          <w:szCs w:val="24"/>
        </w:rPr>
      </w:pPr>
      <w:r>
        <w:rPr>
          <w:rFonts w:hint="eastAsia" w:ascii="宋体" w:hAnsi="宋体" w:cs="宋体"/>
          <w:sz w:val="24"/>
          <w:szCs w:val="24"/>
        </w:rPr>
        <w:t>（二）招标文件、投标文件、澄清表（函）、中标通知书、合同附件均成为合同不可分割的部分。</w:t>
      </w:r>
    </w:p>
    <w:p w14:paraId="12AD8D95">
      <w:pPr>
        <w:tabs>
          <w:tab w:val="left" w:pos="480"/>
        </w:tabs>
        <w:spacing w:line="360" w:lineRule="auto"/>
        <w:rPr>
          <w:rFonts w:ascii="宋体" w:hAnsi="宋体" w:cs="宋体"/>
          <w:sz w:val="24"/>
          <w:szCs w:val="24"/>
        </w:rPr>
      </w:pPr>
      <w:r>
        <w:rPr>
          <w:rFonts w:hint="eastAsia" w:ascii="宋体" w:hAnsi="宋体" w:cs="宋体"/>
          <w:sz w:val="24"/>
          <w:szCs w:val="24"/>
        </w:rPr>
        <w:t>（三）合同未尽事宜，由甲、乙双方协商，签订补充协议，与本合同具有同等法律效力。补充协议与本合同不一致的，以补充协议为准。</w:t>
      </w:r>
    </w:p>
    <w:p w14:paraId="0D0DF23C">
      <w:pPr>
        <w:tabs>
          <w:tab w:val="left" w:pos="480"/>
        </w:tabs>
        <w:spacing w:line="360" w:lineRule="auto"/>
        <w:rPr>
          <w:rFonts w:ascii="宋体" w:hAnsi="宋体" w:cs="宋体"/>
          <w:sz w:val="24"/>
          <w:szCs w:val="24"/>
        </w:rPr>
      </w:pPr>
      <w:r>
        <w:rPr>
          <w:rFonts w:hint="eastAsia" w:ascii="宋体" w:hAnsi="宋体" w:cs="宋体"/>
          <w:sz w:val="24"/>
          <w:szCs w:val="24"/>
        </w:rPr>
        <w:t>（四）合同一经签订，不得擅自变更、中止或终止合同。对确需变更、调整或中止、终止合同的，有法律规定的按照法律规定，除合同约定外，由甲乙双方再行协商，协商一致前，原合同或条款继续履行。</w:t>
      </w:r>
    </w:p>
    <w:p w14:paraId="71ADA5E8">
      <w:pPr>
        <w:tabs>
          <w:tab w:val="left" w:pos="480"/>
        </w:tabs>
        <w:spacing w:line="360" w:lineRule="auto"/>
        <w:rPr>
          <w:rFonts w:ascii="宋体" w:hAnsi="宋体" w:cs="宋体"/>
          <w:sz w:val="24"/>
          <w:szCs w:val="24"/>
        </w:rPr>
      </w:pPr>
      <w:r>
        <w:rPr>
          <w:rFonts w:hint="eastAsia" w:ascii="宋体" w:hAnsi="宋体" w:cs="宋体"/>
          <w:sz w:val="24"/>
          <w:szCs w:val="24"/>
        </w:rPr>
        <w:t>（五）本合同按照中华人民共和国的现行法律进行解释。</w:t>
      </w:r>
    </w:p>
    <w:p w14:paraId="7BC7E8F1">
      <w:pPr>
        <w:tabs>
          <w:tab w:val="left" w:pos="480"/>
        </w:tabs>
        <w:spacing w:line="360" w:lineRule="auto"/>
        <w:rPr>
          <w:rFonts w:ascii="宋体" w:hAnsi="宋体" w:cs="宋体"/>
          <w:sz w:val="24"/>
          <w:szCs w:val="24"/>
        </w:rPr>
      </w:pPr>
      <w:r>
        <w:rPr>
          <w:rFonts w:hint="eastAsia" w:ascii="宋体" w:hAnsi="宋体" w:cs="宋体"/>
          <w:sz w:val="24"/>
          <w:szCs w:val="24"/>
        </w:rPr>
        <w:t>（六）本合同附件作为本合同的组成部分，与本合同具有同等法律效力。</w:t>
      </w:r>
    </w:p>
    <w:p w14:paraId="249DD0AF">
      <w:pPr>
        <w:tabs>
          <w:tab w:val="left" w:pos="480"/>
        </w:tabs>
        <w:spacing w:line="360" w:lineRule="auto"/>
        <w:rPr>
          <w:rFonts w:ascii="宋体" w:hAnsi="宋体" w:cs="宋体"/>
          <w:sz w:val="24"/>
          <w:szCs w:val="24"/>
        </w:rPr>
      </w:pPr>
      <w:r>
        <w:rPr>
          <w:rFonts w:hint="eastAsia" w:ascii="宋体" w:hAnsi="宋体" w:cs="宋体"/>
          <w:sz w:val="24"/>
          <w:szCs w:val="24"/>
        </w:rPr>
        <w:t>（以下无正文）</w:t>
      </w:r>
    </w:p>
    <w:p w14:paraId="015F7726">
      <w:pPr>
        <w:tabs>
          <w:tab w:val="left" w:pos="480"/>
        </w:tabs>
        <w:spacing w:line="360" w:lineRule="auto"/>
        <w:rPr>
          <w:rFonts w:ascii="宋体" w:hAnsi="宋体" w:cs="宋体"/>
          <w:sz w:val="24"/>
          <w:szCs w:val="24"/>
        </w:rPr>
      </w:pPr>
    </w:p>
    <w:p w14:paraId="1135EF14">
      <w:pPr>
        <w:tabs>
          <w:tab w:val="left" w:pos="480"/>
        </w:tabs>
        <w:spacing w:line="360" w:lineRule="auto"/>
        <w:rPr>
          <w:rFonts w:ascii="宋体" w:hAnsi="宋体" w:cs="宋体"/>
          <w:sz w:val="24"/>
          <w:szCs w:val="24"/>
        </w:rPr>
      </w:pPr>
      <w:r>
        <w:rPr>
          <w:rFonts w:hint="eastAsia" w:ascii="宋体" w:hAnsi="宋体" w:cs="宋体"/>
          <w:sz w:val="24"/>
          <w:szCs w:val="24"/>
        </w:rPr>
        <w:t>甲  方（法人公章）                  乙  方（法人公章）</w:t>
      </w:r>
    </w:p>
    <w:p w14:paraId="04FF6612">
      <w:pPr>
        <w:tabs>
          <w:tab w:val="left" w:pos="480"/>
        </w:tabs>
        <w:spacing w:line="360" w:lineRule="auto"/>
        <w:rPr>
          <w:rFonts w:ascii="宋体" w:hAnsi="宋体" w:cs="宋体"/>
          <w:sz w:val="24"/>
          <w:szCs w:val="24"/>
        </w:rPr>
      </w:pPr>
      <w:r>
        <w:rPr>
          <w:rFonts w:hint="eastAsia" w:ascii="宋体" w:hAnsi="宋体" w:cs="宋体"/>
          <w:sz w:val="24"/>
          <w:szCs w:val="24"/>
        </w:rPr>
        <w:t>单位名称：西安市第三医院            单位名称:</w:t>
      </w:r>
    </w:p>
    <w:p w14:paraId="628775AB">
      <w:pPr>
        <w:tabs>
          <w:tab w:val="left" w:pos="480"/>
        </w:tabs>
        <w:spacing w:line="360" w:lineRule="auto"/>
        <w:rPr>
          <w:rFonts w:ascii="宋体" w:hAnsi="宋体" w:cs="宋体"/>
          <w:sz w:val="24"/>
          <w:szCs w:val="24"/>
        </w:rPr>
      </w:pPr>
      <w:r>
        <w:rPr>
          <w:rFonts w:hint="eastAsia" w:ascii="宋体" w:hAnsi="宋体" w:cs="宋体"/>
          <w:sz w:val="24"/>
          <w:szCs w:val="24"/>
        </w:rPr>
        <w:t>地  址：西安市凤城三路东段10号     地  址：</w:t>
      </w:r>
    </w:p>
    <w:p w14:paraId="4934C2AF">
      <w:pPr>
        <w:tabs>
          <w:tab w:val="left" w:pos="480"/>
        </w:tabs>
        <w:spacing w:line="360" w:lineRule="auto"/>
        <w:rPr>
          <w:rFonts w:ascii="宋体" w:hAnsi="宋体" w:cs="宋体"/>
          <w:sz w:val="24"/>
          <w:szCs w:val="24"/>
        </w:rPr>
      </w:pPr>
      <w:r>
        <w:rPr>
          <w:rFonts w:hint="eastAsia" w:ascii="宋体" w:hAnsi="宋体" w:cs="宋体"/>
          <w:sz w:val="24"/>
          <w:szCs w:val="24"/>
        </w:rPr>
        <w:t xml:space="preserve">法定代表人：（签章）                 法定代表人：（签章） </w:t>
      </w:r>
    </w:p>
    <w:p w14:paraId="00DD95E5">
      <w:pPr>
        <w:tabs>
          <w:tab w:val="left" w:pos="480"/>
        </w:tabs>
        <w:spacing w:line="360" w:lineRule="auto"/>
        <w:rPr>
          <w:rFonts w:ascii="宋体" w:hAnsi="宋体" w:cs="宋体"/>
          <w:sz w:val="24"/>
          <w:szCs w:val="24"/>
        </w:rPr>
      </w:pPr>
    </w:p>
    <w:p w14:paraId="3058F705">
      <w:pPr>
        <w:tabs>
          <w:tab w:val="left" w:pos="480"/>
        </w:tabs>
        <w:spacing w:line="360" w:lineRule="auto"/>
        <w:ind w:firstLine="3360" w:firstLineChars="1400"/>
        <w:rPr>
          <w:rFonts w:ascii="宋体" w:hAnsi="宋体" w:cs="宋体"/>
          <w:sz w:val="24"/>
          <w:szCs w:val="24"/>
        </w:rPr>
      </w:pPr>
      <w:r>
        <w:rPr>
          <w:rFonts w:hint="eastAsia" w:ascii="宋体" w:hAnsi="宋体" w:cs="宋体"/>
          <w:sz w:val="24"/>
          <w:szCs w:val="24"/>
        </w:rPr>
        <w:t xml:space="preserve">        开户银行:</w:t>
      </w:r>
    </w:p>
    <w:p w14:paraId="5817A10A">
      <w:pPr>
        <w:tabs>
          <w:tab w:val="left" w:pos="480"/>
        </w:tabs>
        <w:spacing w:line="360" w:lineRule="auto"/>
        <w:rPr>
          <w:rFonts w:ascii="宋体" w:hAnsi="宋体" w:cs="宋体"/>
          <w:sz w:val="24"/>
          <w:szCs w:val="24"/>
        </w:rPr>
      </w:pPr>
      <w:r>
        <w:rPr>
          <w:rFonts w:hint="eastAsia" w:ascii="宋体" w:hAnsi="宋体" w:cs="宋体"/>
          <w:sz w:val="24"/>
          <w:szCs w:val="24"/>
        </w:rPr>
        <w:t xml:space="preserve">                                    账   号：</w:t>
      </w:r>
    </w:p>
    <w:p w14:paraId="05F90560">
      <w:pPr>
        <w:tabs>
          <w:tab w:val="left" w:pos="480"/>
        </w:tabs>
        <w:spacing w:line="360" w:lineRule="auto"/>
        <w:rPr>
          <w:rFonts w:ascii="宋体" w:hAnsi="宋体" w:cs="宋体"/>
          <w:sz w:val="24"/>
          <w:szCs w:val="24"/>
        </w:rPr>
      </w:pPr>
      <w:r>
        <w:rPr>
          <w:rFonts w:hint="eastAsia" w:ascii="宋体" w:hAnsi="宋体" w:cs="宋体"/>
          <w:sz w:val="24"/>
          <w:szCs w:val="24"/>
        </w:rPr>
        <w:t>签订日期： 年  月  日               签订日期： 年  月  日</w:t>
      </w:r>
    </w:p>
    <w:p w14:paraId="676B7E33">
      <w:pPr>
        <w:tabs>
          <w:tab w:val="left" w:pos="480"/>
        </w:tabs>
        <w:spacing w:line="360" w:lineRule="auto"/>
        <w:ind w:firstLine="480" w:firstLineChars="200"/>
        <w:rPr>
          <w:rFonts w:ascii="宋体" w:hAnsi="宋体" w:cs="宋体"/>
          <w:sz w:val="24"/>
          <w:szCs w:val="24"/>
        </w:rPr>
      </w:pPr>
    </w:p>
    <w:p w14:paraId="0B0A5027">
      <w:pPr>
        <w:tabs>
          <w:tab w:val="left" w:pos="480"/>
        </w:tabs>
        <w:spacing w:line="360" w:lineRule="auto"/>
        <w:rPr>
          <w:rFonts w:ascii="宋体" w:hAnsi="宋体" w:cs="宋体"/>
          <w:color w:val="FF0000"/>
          <w:sz w:val="24"/>
        </w:rPr>
      </w:pPr>
    </w:p>
    <w:p w14:paraId="1577BA9B">
      <w:pPr>
        <w:tabs>
          <w:tab w:val="left" w:pos="480"/>
        </w:tabs>
        <w:spacing w:line="360" w:lineRule="auto"/>
        <w:rPr>
          <w:rFonts w:ascii="宋体" w:hAnsi="宋体" w:cs="宋体"/>
          <w:color w:val="FF0000"/>
          <w:sz w:val="24"/>
        </w:rPr>
      </w:pPr>
    </w:p>
    <w:p w14:paraId="1566F667">
      <w:pPr>
        <w:tabs>
          <w:tab w:val="left" w:pos="480"/>
        </w:tabs>
        <w:spacing w:line="360" w:lineRule="auto"/>
        <w:rPr>
          <w:rFonts w:ascii="宋体" w:hAnsi="宋体" w:cs="宋体"/>
          <w:sz w:val="24"/>
        </w:rPr>
      </w:pPr>
      <w:r>
        <w:rPr>
          <w:rFonts w:ascii="宋体" w:hAnsi="宋体" w:cs="宋体"/>
          <w:color w:val="FF0000"/>
          <w:sz w:val="24"/>
        </w:rPr>
        <w:t>附件一</w:t>
      </w:r>
      <w:r>
        <w:rPr>
          <w:rFonts w:hint="eastAsia" w:ascii="宋体" w:hAnsi="宋体" w:cs="宋体"/>
          <w:color w:val="FF0000"/>
          <w:sz w:val="24"/>
        </w:rPr>
        <w:t>：分项清单</w:t>
      </w:r>
    </w:p>
    <w:tbl>
      <w:tblPr>
        <w:tblStyle w:val="3"/>
        <w:tblW w:w="9133" w:type="dxa"/>
        <w:tblInd w:w="108" w:type="dxa"/>
        <w:tblLayout w:type="fixed"/>
        <w:tblCellMar>
          <w:top w:w="0" w:type="dxa"/>
          <w:left w:w="10" w:type="dxa"/>
          <w:bottom w:w="0" w:type="dxa"/>
          <w:right w:w="10" w:type="dxa"/>
        </w:tblCellMar>
      </w:tblPr>
      <w:tblGrid>
        <w:gridCol w:w="547"/>
        <w:gridCol w:w="1243"/>
        <w:gridCol w:w="1194"/>
        <w:gridCol w:w="1214"/>
        <w:gridCol w:w="1110"/>
        <w:gridCol w:w="735"/>
        <w:gridCol w:w="671"/>
        <w:gridCol w:w="1194"/>
        <w:gridCol w:w="1225"/>
      </w:tblGrid>
      <w:tr w14:paraId="4A2568D5">
        <w:tblPrEx>
          <w:tblCellMar>
            <w:top w:w="0" w:type="dxa"/>
            <w:left w:w="10" w:type="dxa"/>
            <w:bottom w:w="0" w:type="dxa"/>
            <w:right w:w="10" w:type="dxa"/>
          </w:tblCellMar>
        </w:tblPrEx>
        <w:trPr>
          <w:trHeight w:val="1456" w:hRule="atLeast"/>
        </w:trPr>
        <w:tc>
          <w:tcPr>
            <w:tcW w:w="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0C6551A">
            <w:pPr>
              <w:tabs>
                <w:tab w:val="left" w:pos="480"/>
              </w:tabs>
              <w:spacing w:line="360" w:lineRule="auto"/>
              <w:jc w:val="center"/>
              <w:rPr>
                <w:rFonts w:ascii="宋体" w:hAnsi="宋体" w:cs="宋体"/>
                <w:szCs w:val="21"/>
              </w:rPr>
            </w:pPr>
            <w:r>
              <w:rPr>
                <w:rFonts w:ascii="宋体" w:hAnsi="宋体" w:cs="宋体"/>
                <w:color w:val="000000"/>
                <w:szCs w:val="21"/>
              </w:rPr>
              <w:t>序号</w:t>
            </w:r>
          </w:p>
        </w:tc>
        <w:tc>
          <w:tcPr>
            <w:tcW w:w="12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35A1A8E">
            <w:pPr>
              <w:tabs>
                <w:tab w:val="left" w:pos="480"/>
              </w:tabs>
              <w:spacing w:line="360" w:lineRule="auto"/>
              <w:jc w:val="center"/>
              <w:rPr>
                <w:rFonts w:ascii="宋体" w:hAnsi="宋体" w:cs="宋体"/>
                <w:szCs w:val="21"/>
              </w:rPr>
            </w:pPr>
            <w:r>
              <w:rPr>
                <w:rFonts w:ascii="宋体" w:hAnsi="宋体" w:cs="宋体"/>
                <w:color w:val="000000"/>
                <w:szCs w:val="21"/>
              </w:rPr>
              <w:t>货物名称</w:t>
            </w: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F4DEA09">
            <w:pPr>
              <w:tabs>
                <w:tab w:val="left" w:pos="480"/>
              </w:tabs>
              <w:spacing w:line="360" w:lineRule="auto"/>
              <w:jc w:val="center"/>
              <w:rPr>
                <w:rFonts w:ascii="宋体" w:hAnsi="宋体" w:cs="宋体"/>
                <w:szCs w:val="21"/>
              </w:rPr>
            </w:pPr>
            <w:r>
              <w:rPr>
                <w:rFonts w:hint="eastAsia" w:ascii="宋体" w:hAnsi="宋体" w:cs="宋体"/>
                <w:color w:val="000000"/>
                <w:szCs w:val="21"/>
              </w:rPr>
              <w:t>品牌名称</w:t>
            </w:r>
          </w:p>
        </w:tc>
        <w:tc>
          <w:tcPr>
            <w:tcW w:w="1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34D7812">
            <w:pPr>
              <w:tabs>
                <w:tab w:val="left" w:pos="480"/>
              </w:tabs>
              <w:spacing w:line="360" w:lineRule="auto"/>
              <w:jc w:val="center"/>
              <w:rPr>
                <w:rFonts w:ascii="宋体" w:hAnsi="宋体" w:cs="宋体"/>
                <w:szCs w:val="21"/>
              </w:rPr>
            </w:pPr>
            <w:r>
              <w:rPr>
                <w:rFonts w:ascii="宋体" w:hAnsi="宋体" w:cs="宋体"/>
                <w:color w:val="000000"/>
                <w:szCs w:val="21"/>
              </w:rPr>
              <w:t>型号规格</w:t>
            </w: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7258041">
            <w:pPr>
              <w:tabs>
                <w:tab w:val="left" w:pos="480"/>
              </w:tabs>
              <w:spacing w:line="360" w:lineRule="auto"/>
              <w:jc w:val="center"/>
              <w:rPr>
                <w:rFonts w:ascii="宋体" w:hAnsi="宋体" w:cs="宋体"/>
                <w:szCs w:val="21"/>
              </w:rPr>
            </w:pPr>
            <w:r>
              <w:rPr>
                <w:rFonts w:ascii="宋体" w:hAnsi="宋体" w:cs="宋体"/>
                <w:color w:val="000000"/>
                <w:szCs w:val="21"/>
              </w:rPr>
              <w:t>生产厂家</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E2B7D12">
            <w:pPr>
              <w:tabs>
                <w:tab w:val="left" w:pos="480"/>
              </w:tabs>
              <w:spacing w:line="360" w:lineRule="auto"/>
              <w:jc w:val="center"/>
              <w:rPr>
                <w:rFonts w:ascii="宋体" w:hAnsi="宋体" w:cs="宋体"/>
                <w:szCs w:val="21"/>
              </w:rPr>
            </w:pPr>
            <w:r>
              <w:rPr>
                <w:rFonts w:ascii="宋体" w:hAnsi="宋体" w:cs="宋体"/>
                <w:color w:val="000000"/>
                <w:szCs w:val="21"/>
              </w:rPr>
              <w:t>产地</w:t>
            </w: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061B856">
            <w:pPr>
              <w:tabs>
                <w:tab w:val="left" w:pos="480"/>
              </w:tabs>
              <w:spacing w:line="360" w:lineRule="auto"/>
              <w:jc w:val="center"/>
              <w:rPr>
                <w:rFonts w:ascii="宋体" w:hAnsi="宋体" w:cs="宋体"/>
                <w:szCs w:val="21"/>
              </w:rPr>
            </w:pPr>
            <w:r>
              <w:rPr>
                <w:rFonts w:ascii="宋体" w:hAnsi="宋体" w:cs="宋体"/>
                <w:color w:val="000000"/>
                <w:szCs w:val="21"/>
              </w:rPr>
              <w:t>数量</w:t>
            </w: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788B6A0">
            <w:pPr>
              <w:tabs>
                <w:tab w:val="left" w:pos="480"/>
              </w:tabs>
              <w:spacing w:line="360" w:lineRule="auto"/>
              <w:jc w:val="center"/>
              <w:rPr>
                <w:rFonts w:ascii="宋体" w:hAnsi="宋体" w:cs="宋体"/>
                <w:color w:val="000000"/>
                <w:szCs w:val="21"/>
              </w:rPr>
            </w:pPr>
            <w:r>
              <w:rPr>
                <w:rFonts w:ascii="宋体" w:hAnsi="宋体" w:cs="宋体"/>
                <w:color w:val="000000"/>
                <w:szCs w:val="21"/>
              </w:rPr>
              <w:t>单价</w:t>
            </w:r>
          </w:p>
          <w:p w14:paraId="68E5B22E">
            <w:pPr>
              <w:tabs>
                <w:tab w:val="left" w:pos="480"/>
              </w:tabs>
              <w:spacing w:line="360" w:lineRule="auto"/>
              <w:jc w:val="center"/>
              <w:rPr>
                <w:rFonts w:ascii="宋体" w:hAnsi="宋体" w:cs="宋体"/>
                <w:szCs w:val="21"/>
              </w:rPr>
            </w:pPr>
            <w:r>
              <w:rPr>
                <w:rFonts w:ascii="宋体" w:hAnsi="宋体" w:cs="宋体"/>
                <w:color w:val="000000"/>
                <w:szCs w:val="21"/>
              </w:rPr>
              <w:t>（万元）</w:t>
            </w: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9958101">
            <w:pPr>
              <w:tabs>
                <w:tab w:val="left" w:pos="480"/>
              </w:tabs>
              <w:spacing w:line="360" w:lineRule="auto"/>
              <w:jc w:val="center"/>
              <w:rPr>
                <w:rFonts w:ascii="宋体" w:hAnsi="宋体" w:cs="宋体"/>
                <w:color w:val="000000"/>
                <w:szCs w:val="21"/>
              </w:rPr>
            </w:pPr>
            <w:r>
              <w:rPr>
                <w:rFonts w:ascii="宋体" w:hAnsi="宋体" w:cs="宋体"/>
                <w:color w:val="000000"/>
                <w:szCs w:val="21"/>
              </w:rPr>
              <w:t>总价</w:t>
            </w:r>
          </w:p>
          <w:p w14:paraId="31AB7A11">
            <w:pPr>
              <w:tabs>
                <w:tab w:val="left" w:pos="480"/>
              </w:tabs>
              <w:spacing w:line="360" w:lineRule="auto"/>
              <w:rPr>
                <w:rFonts w:ascii="宋体" w:hAnsi="宋体" w:cs="宋体"/>
                <w:szCs w:val="21"/>
              </w:rPr>
            </w:pPr>
            <w:r>
              <w:rPr>
                <w:rFonts w:ascii="宋体" w:hAnsi="宋体" w:cs="宋体"/>
                <w:color w:val="000000"/>
                <w:szCs w:val="21"/>
              </w:rPr>
              <w:t>（万元）</w:t>
            </w:r>
          </w:p>
        </w:tc>
      </w:tr>
      <w:tr w14:paraId="14D159D2">
        <w:tblPrEx>
          <w:tblCellMar>
            <w:top w:w="0" w:type="dxa"/>
            <w:left w:w="10" w:type="dxa"/>
            <w:bottom w:w="0" w:type="dxa"/>
            <w:right w:w="10" w:type="dxa"/>
          </w:tblCellMar>
        </w:tblPrEx>
        <w:trPr>
          <w:trHeight w:val="492" w:hRule="atLeast"/>
        </w:trPr>
        <w:tc>
          <w:tcPr>
            <w:tcW w:w="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F01CD79">
            <w:pPr>
              <w:tabs>
                <w:tab w:val="left" w:pos="480"/>
              </w:tabs>
              <w:spacing w:line="360" w:lineRule="auto"/>
              <w:jc w:val="center"/>
              <w:rPr>
                <w:rFonts w:ascii="宋体" w:hAnsi="宋体" w:cs="宋体"/>
              </w:rPr>
            </w:pPr>
            <w:r>
              <w:rPr>
                <w:rFonts w:ascii="宋体" w:hAnsi="宋体" w:cs="宋体"/>
                <w:color w:val="000000"/>
                <w:sz w:val="24"/>
              </w:rPr>
              <w:t>1</w:t>
            </w:r>
          </w:p>
        </w:tc>
        <w:tc>
          <w:tcPr>
            <w:tcW w:w="12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626A75A">
            <w:pPr>
              <w:tabs>
                <w:tab w:val="left" w:pos="480"/>
              </w:tabs>
              <w:spacing w:line="360" w:lineRule="auto"/>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45E9C8E">
            <w:pPr>
              <w:tabs>
                <w:tab w:val="left" w:pos="480"/>
              </w:tabs>
              <w:spacing w:line="360" w:lineRule="auto"/>
              <w:rPr>
                <w:rFonts w:ascii="宋体" w:hAnsi="宋体" w:cs="宋体"/>
                <w:sz w:val="22"/>
              </w:rPr>
            </w:pPr>
          </w:p>
        </w:tc>
        <w:tc>
          <w:tcPr>
            <w:tcW w:w="1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BEED89A">
            <w:pPr>
              <w:tabs>
                <w:tab w:val="left" w:pos="480"/>
              </w:tabs>
              <w:spacing w:line="360" w:lineRule="auto"/>
              <w:rPr>
                <w:rFonts w:ascii="宋体" w:hAnsi="宋体" w:cs="宋体"/>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5B75F4E">
            <w:pPr>
              <w:tabs>
                <w:tab w:val="left" w:pos="480"/>
              </w:tabs>
              <w:spacing w:line="360" w:lineRule="auto"/>
              <w:jc w:val="center"/>
              <w:rPr>
                <w:rFonts w:ascii="宋体" w:hAnsi="宋体" w:cs="宋体"/>
                <w:sz w:val="22"/>
              </w:rPr>
            </w:pP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8338858">
            <w:pPr>
              <w:tabs>
                <w:tab w:val="left" w:pos="480"/>
              </w:tabs>
              <w:spacing w:line="360" w:lineRule="auto"/>
              <w:jc w:val="center"/>
              <w:rPr>
                <w:rFonts w:ascii="宋体" w:hAnsi="宋体" w:cs="宋体"/>
                <w:sz w:val="22"/>
              </w:rPr>
            </w:pP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B6A0705">
            <w:pPr>
              <w:tabs>
                <w:tab w:val="left" w:pos="480"/>
              </w:tabs>
              <w:spacing w:line="360" w:lineRule="auto"/>
              <w:jc w:val="center"/>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FC833A5">
            <w:pPr>
              <w:tabs>
                <w:tab w:val="left" w:pos="480"/>
              </w:tabs>
              <w:spacing w:line="360" w:lineRule="auto"/>
              <w:jc w:val="center"/>
              <w:rPr>
                <w:rFonts w:ascii="宋体" w:hAnsi="宋体" w:cs="宋体"/>
                <w:sz w:val="22"/>
              </w:rPr>
            </w:pP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E0E2BB1">
            <w:pPr>
              <w:tabs>
                <w:tab w:val="left" w:pos="480"/>
              </w:tabs>
              <w:spacing w:line="360" w:lineRule="auto"/>
              <w:jc w:val="center"/>
              <w:rPr>
                <w:rFonts w:ascii="宋体" w:hAnsi="宋体" w:cs="宋体"/>
                <w:sz w:val="22"/>
              </w:rPr>
            </w:pPr>
          </w:p>
        </w:tc>
      </w:tr>
      <w:tr w14:paraId="2BCFC727">
        <w:tblPrEx>
          <w:tblCellMar>
            <w:top w:w="0" w:type="dxa"/>
            <w:left w:w="10" w:type="dxa"/>
            <w:bottom w:w="0" w:type="dxa"/>
            <w:right w:w="10" w:type="dxa"/>
          </w:tblCellMar>
        </w:tblPrEx>
        <w:trPr>
          <w:trHeight w:val="492" w:hRule="atLeast"/>
        </w:trPr>
        <w:tc>
          <w:tcPr>
            <w:tcW w:w="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3D65FD5">
            <w:pPr>
              <w:tabs>
                <w:tab w:val="left" w:pos="480"/>
              </w:tabs>
              <w:spacing w:line="360" w:lineRule="auto"/>
              <w:jc w:val="center"/>
              <w:rPr>
                <w:rFonts w:ascii="宋体" w:hAnsi="宋体" w:cs="宋体"/>
              </w:rPr>
            </w:pPr>
            <w:r>
              <w:rPr>
                <w:rFonts w:ascii="宋体" w:hAnsi="宋体" w:cs="宋体"/>
                <w:color w:val="000000"/>
                <w:sz w:val="24"/>
              </w:rPr>
              <w:t>2</w:t>
            </w:r>
          </w:p>
        </w:tc>
        <w:tc>
          <w:tcPr>
            <w:tcW w:w="12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C5CB1F5">
            <w:pPr>
              <w:tabs>
                <w:tab w:val="left" w:pos="480"/>
              </w:tabs>
              <w:spacing w:line="360" w:lineRule="auto"/>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1886DB0">
            <w:pPr>
              <w:tabs>
                <w:tab w:val="left" w:pos="480"/>
              </w:tabs>
              <w:spacing w:line="360" w:lineRule="auto"/>
              <w:rPr>
                <w:rFonts w:ascii="宋体" w:hAnsi="宋体" w:cs="宋体"/>
                <w:sz w:val="22"/>
              </w:rPr>
            </w:pPr>
          </w:p>
        </w:tc>
        <w:tc>
          <w:tcPr>
            <w:tcW w:w="1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A8713A5">
            <w:pPr>
              <w:tabs>
                <w:tab w:val="left" w:pos="480"/>
              </w:tabs>
              <w:spacing w:line="360" w:lineRule="auto"/>
              <w:rPr>
                <w:rFonts w:ascii="宋体" w:hAnsi="宋体" w:cs="宋体"/>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6020067">
            <w:pPr>
              <w:tabs>
                <w:tab w:val="left" w:pos="480"/>
              </w:tabs>
              <w:spacing w:line="360" w:lineRule="auto"/>
              <w:jc w:val="center"/>
              <w:rPr>
                <w:rFonts w:ascii="宋体" w:hAnsi="宋体" w:cs="宋体"/>
                <w:sz w:val="22"/>
              </w:rPr>
            </w:pP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968C295">
            <w:pPr>
              <w:tabs>
                <w:tab w:val="left" w:pos="480"/>
              </w:tabs>
              <w:spacing w:line="360" w:lineRule="auto"/>
              <w:jc w:val="center"/>
              <w:rPr>
                <w:rFonts w:ascii="宋体" w:hAnsi="宋体" w:cs="宋体"/>
                <w:sz w:val="22"/>
              </w:rPr>
            </w:pP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520DA29">
            <w:pPr>
              <w:tabs>
                <w:tab w:val="left" w:pos="480"/>
              </w:tabs>
              <w:spacing w:line="360" w:lineRule="auto"/>
              <w:jc w:val="center"/>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B4914B1">
            <w:pPr>
              <w:tabs>
                <w:tab w:val="left" w:pos="480"/>
              </w:tabs>
              <w:spacing w:line="360" w:lineRule="auto"/>
              <w:jc w:val="center"/>
              <w:rPr>
                <w:rFonts w:ascii="宋体" w:hAnsi="宋体" w:cs="宋体"/>
                <w:sz w:val="22"/>
              </w:rPr>
            </w:pP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BC1F48A">
            <w:pPr>
              <w:tabs>
                <w:tab w:val="left" w:pos="480"/>
              </w:tabs>
              <w:spacing w:line="360" w:lineRule="auto"/>
              <w:jc w:val="center"/>
              <w:rPr>
                <w:rFonts w:ascii="宋体" w:hAnsi="宋体" w:cs="宋体"/>
                <w:sz w:val="22"/>
              </w:rPr>
            </w:pPr>
          </w:p>
        </w:tc>
      </w:tr>
      <w:tr w14:paraId="68B861AF">
        <w:tblPrEx>
          <w:tblCellMar>
            <w:top w:w="0" w:type="dxa"/>
            <w:left w:w="10" w:type="dxa"/>
            <w:bottom w:w="0" w:type="dxa"/>
            <w:right w:w="10" w:type="dxa"/>
          </w:tblCellMar>
        </w:tblPrEx>
        <w:trPr>
          <w:trHeight w:val="492" w:hRule="atLeast"/>
        </w:trPr>
        <w:tc>
          <w:tcPr>
            <w:tcW w:w="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A4760C3">
            <w:pPr>
              <w:tabs>
                <w:tab w:val="left" w:pos="480"/>
              </w:tabs>
              <w:spacing w:line="360" w:lineRule="auto"/>
              <w:jc w:val="center"/>
              <w:rPr>
                <w:rFonts w:ascii="宋体" w:hAnsi="宋体" w:cs="宋体"/>
              </w:rPr>
            </w:pPr>
            <w:r>
              <w:rPr>
                <w:rFonts w:ascii="宋体" w:hAnsi="宋体" w:cs="宋体"/>
                <w:color w:val="000000"/>
                <w:sz w:val="24"/>
              </w:rPr>
              <w:t>3</w:t>
            </w:r>
          </w:p>
        </w:tc>
        <w:tc>
          <w:tcPr>
            <w:tcW w:w="12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29E10FB">
            <w:pPr>
              <w:tabs>
                <w:tab w:val="left" w:pos="480"/>
              </w:tabs>
              <w:spacing w:line="360" w:lineRule="auto"/>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ECA85A7">
            <w:pPr>
              <w:tabs>
                <w:tab w:val="left" w:pos="480"/>
              </w:tabs>
              <w:spacing w:line="360" w:lineRule="auto"/>
              <w:rPr>
                <w:rFonts w:ascii="宋体" w:hAnsi="宋体" w:cs="宋体"/>
                <w:sz w:val="22"/>
              </w:rPr>
            </w:pPr>
          </w:p>
        </w:tc>
        <w:tc>
          <w:tcPr>
            <w:tcW w:w="1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6CF47FA">
            <w:pPr>
              <w:tabs>
                <w:tab w:val="left" w:pos="480"/>
              </w:tabs>
              <w:spacing w:line="360" w:lineRule="auto"/>
              <w:rPr>
                <w:rFonts w:ascii="宋体" w:hAnsi="宋体" w:cs="宋体"/>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C0E2737">
            <w:pPr>
              <w:tabs>
                <w:tab w:val="left" w:pos="480"/>
              </w:tabs>
              <w:spacing w:line="360" w:lineRule="auto"/>
              <w:jc w:val="center"/>
              <w:rPr>
                <w:rFonts w:ascii="宋体" w:hAnsi="宋体" w:cs="宋体"/>
                <w:sz w:val="22"/>
              </w:rPr>
            </w:pP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F13350F">
            <w:pPr>
              <w:tabs>
                <w:tab w:val="left" w:pos="480"/>
              </w:tabs>
              <w:spacing w:line="360" w:lineRule="auto"/>
              <w:jc w:val="center"/>
              <w:rPr>
                <w:rFonts w:ascii="宋体" w:hAnsi="宋体" w:cs="宋体"/>
                <w:sz w:val="22"/>
              </w:rPr>
            </w:pP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A980CD9">
            <w:pPr>
              <w:tabs>
                <w:tab w:val="left" w:pos="480"/>
              </w:tabs>
              <w:spacing w:line="360" w:lineRule="auto"/>
              <w:jc w:val="center"/>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6766249">
            <w:pPr>
              <w:tabs>
                <w:tab w:val="left" w:pos="480"/>
              </w:tabs>
              <w:spacing w:line="360" w:lineRule="auto"/>
              <w:jc w:val="center"/>
              <w:rPr>
                <w:rFonts w:ascii="宋体" w:hAnsi="宋体" w:cs="宋体"/>
                <w:sz w:val="22"/>
              </w:rPr>
            </w:pP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69810CE">
            <w:pPr>
              <w:tabs>
                <w:tab w:val="left" w:pos="480"/>
              </w:tabs>
              <w:spacing w:line="360" w:lineRule="auto"/>
              <w:jc w:val="center"/>
              <w:rPr>
                <w:rFonts w:ascii="宋体" w:hAnsi="宋体" w:cs="宋体"/>
                <w:sz w:val="22"/>
              </w:rPr>
            </w:pPr>
          </w:p>
        </w:tc>
      </w:tr>
      <w:tr w14:paraId="77A2039D">
        <w:tblPrEx>
          <w:tblCellMar>
            <w:top w:w="0" w:type="dxa"/>
            <w:left w:w="10" w:type="dxa"/>
            <w:bottom w:w="0" w:type="dxa"/>
            <w:right w:w="10" w:type="dxa"/>
          </w:tblCellMar>
        </w:tblPrEx>
        <w:trPr>
          <w:trHeight w:val="663" w:hRule="atLeast"/>
        </w:trPr>
        <w:tc>
          <w:tcPr>
            <w:tcW w:w="9133" w:type="dxa"/>
            <w:gridSpan w:val="9"/>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011E9079">
            <w:pPr>
              <w:tabs>
                <w:tab w:val="left" w:pos="480"/>
              </w:tabs>
              <w:spacing w:line="360" w:lineRule="auto"/>
              <w:jc w:val="left"/>
              <w:rPr>
                <w:rFonts w:ascii="宋体" w:hAnsi="宋体" w:cs="宋体"/>
              </w:rPr>
            </w:pPr>
            <w:r>
              <w:rPr>
                <w:rFonts w:ascii="宋体" w:hAnsi="宋体" w:cs="宋体"/>
                <w:color w:val="000000"/>
                <w:sz w:val="28"/>
              </w:rPr>
              <w:t>货物价款合计（大写）：XXXXXXXXXXX  ¥：（XXXX万元）</w:t>
            </w:r>
          </w:p>
        </w:tc>
      </w:tr>
    </w:tbl>
    <w:p w14:paraId="73502253">
      <w:pPr>
        <w:tabs>
          <w:tab w:val="left" w:pos="480"/>
        </w:tabs>
        <w:spacing w:line="360" w:lineRule="auto"/>
        <w:rPr>
          <w:rFonts w:ascii="宋体" w:hAnsi="宋体" w:cs="宋体"/>
          <w:color w:val="FF0000"/>
          <w:sz w:val="24"/>
        </w:rPr>
      </w:pPr>
    </w:p>
    <w:p w14:paraId="4295F4E2">
      <w:pPr>
        <w:tabs>
          <w:tab w:val="left" w:pos="480"/>
        </w:tabs>
        <w:spacing w:line="360" w:lineRule="auto"/>
        <w:rPr>
          <w:rFonts w:ascii="宋体" w:hAnsi="宋体" w:cs="宋体"/>
          <w:color w:val="FF0000"/>
          <w:sz w:val="24"/>
        </w:rPr>
      </w:pPr>
    </w:p>
    <w:p w14:paraId="7D5CD973">
      <w:pPr>
        <w:tabs>
          <w:tab w:val="left" w:pos="480"/>
        </w:tabs>
        <w:spacing w:line="360" w:lineRule="auto"/>
        <w:rPr>
          <w:rFonts w:ascii="宋体" w:hAnsi="宋体" w:cs="宋体"/>
          <w:color w:val="FF0000"/>
          <w:sz w:val="24"/>
        </w:rPr>
      </w:pPr>
      <w:r>
        <w:rPr>
          <w:rFonts w:ascii="宋体" w:hAnsi="宋体" w:cs="宋体"/>
          <w:color w:val="FF0000"/>
          <w:sz w:val="24"/>
        </w:rPr>
        <w:t>附件</w:t>
      </w:r>
      <w:r>
        <w:rPr>
          <w:rFonts w:hint="eastAsia" w:ascii="宋体" w:hAnsi="宋体" w:cs="宋体"/>
          <w:color w:val="FF0000"/>
          <w:sz w:val="24"/>
        </w:rPr>
        <w:t>二</w:t>
      </w:r>
      <w:r>
        <w:rPr>
          <w:rFonts w:ascii="宋体" w:hAnsi="宋体" w:cs="宋体"/>
          <w:color w:val="FF0000"/>
          <w:sz w:val="24"/>
        </w:rPr>
        <w:t>：配置清单</w:t>
      </w:r>
    </w:p>
    <w:p w14:paraId="3B6E9CBB">
      <w:pPr>
        <w:rPr>
          <w:rFonts w:ascii="宋体" w:hAnsi="宋体" w:cs="宋体"/>
          <w:sz w:val="24"/>
          <w:szCs w:val="24"/>
        </w:rPr>
      </w:pPr>
    </w:p>
    <w:p w14:paraId="6651CEB0">
      <w:pPr>
        <w:rPr>
          <w:rFonts w:ascii="宋体" w:hAnsi="宋体"/>
        </w:rPr>
      </w:pPr>
    </w:p>
    <w:p w14:paraId="6F15AD40">
      <w:pPr>
        <w:pStyle w:val="7"/>
        <w:rPr>
          <w:rFonts w:hint="default"/>
        </w:rPr>
      </w:pPr>
      <w:r>
        <w:rPr>
          <w:rFonts w:ascii="仿宋_GB2312" w:hAnsi="仿宋_GB2312" w:eastAsia="仿宋_GB2312" w:cs="仿宋_GB2312"/>
        </w:rPr>
        <w:br w:type="textWrapping"/>
      </w:r>
    </w:p>
    <w:p w14:paraId="7B118616">
      <w:pPr>
        <w:pStyle w:val="7"/>
        <w:rPr>
          <w:rFonts w:hint="default"/>
        </w:rPr>
      </w:pPr>
    </w:p>
    <w:p w14:paraId="1504BBEF">
      <w:pPr>
        <w:pStyle w:val="7"/>
        <w:rPr>
          <w:rFonts w:hint="default"/>
        </w:rPr>
      </w:pPr>
    </w:p>
    <w:p w14:paraId="6E2A010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E775A7"/>
    <w:multiLevelType w:val="multilevel"/>
    <w:tmpl w:val="45E775A7"/>
    <w:lvl w:ilvl="0" w:tentative="0">
      <w:start w:val="1"/>
      <w:numFmt w:val="japaneseCounting"/>
      <w:lvlText w:val="%1、"/>
      <w:lvlJc w:val="left"/>
      <w:pPr>
        <w:ind w:left="465" w:hanging="465"/>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D67AD3"/>
    <w:rsid w:val="6AD642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table" w:styleId="4">
    <w:name w:val="Table Grid"/>
    <w:basedOn w:val="3"/>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6">
    <w:name w:val="List Paragraph"/>
    <w:basedOn w:val="1"/>
    <w:qFormat/>
    <w:uiPriority w:val="99"/>
    <w:pPr>
      <w:ind w:firstLine="420" w:firstLineChars="200"/>
    </w:p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3413</Words>
  <Characters>3630</Characters>
  <Lines>0</Lines>
  <Paragraphs>0</Paragraphs>
  <TotalTime>0</TotalTime>
  <ScaleCrop>false</ScaleCrop>
  <LinksUpToDate>false</LinksUpToDate>
  <CharactersWithSpaces>3812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2025-06-17T02:04:00Z</dcterms:created>
  <dc:creator>27322</dc:creator>
  <cp:lastModifiedBy>乐乐</cp:lastModifiedBy>
  <dcterms:modified xsi:type="dcterms:W3CDTF">2025-08-13T00:46:38Z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eyJoZGlkIjoiMjdjN2IwZGFiODBhZmI4NGE4ZjQ1OTlmYjI5MWFkYTUiLCJ1c2VySWQiOiIxMTM0MzQwMzcwIn0=</vt:lpwstr>
  </property>
  <property fmtid="{D5CDD505-2E9C-101B-9397-08002B2CF9AE}" pid="4" name="ICV">
    <vt:lpwstr>DB9875C18520422E9B58A85A2AAB70D0_12</vt:lpwstr>
  </property>
</Properties>
</file>