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63AAA4">
      <w:pPr>
        <w:tabs>
          <w:tab w:val="left" w:pos="735"/>
        </w:tabs>
        <w:autoSpaceDE w:val="0"/>
        <w:autoSpaceDN w:val="0"/>
        <w:adjustRightInd w:val="0"/>
        <w:snapToGrid w:val="0"/>
        <w:spacing w:beforeLines="100" w:line="360" w:lineRule="auto"/>
        <w:rPr>
          <w:rFonts w:ascii="仿宋" w:hAnsi="仿宋" w:eastAsia="仿宋" w:cs="仿宋"/>
          <w:b/>
          <w:bCs/>
          <w:sz w:val="24"/>
          <w:highlight w:val="none"/>
          <w:lang w:val="zh-CN"/>
        </w:rPr>
      </w:pPr>
      <w:bookmarkStart w:id="9" w:name="_GoBack"/>
      <w:bookmarkEnd w:id="9"/>
      <w:r>
        <w:rPr>
          <w:rFonts w:hint="eastAsia" w:ascii="仿宋" w:hAnsi="仿宋" w:eastAsia="仿宋" w:cs="仿宋"/>
          <w:b/>
          <w:bCs/>
          <w:sz w:val="24"/>
          <w:highlight w:val="none"/>
          <w:lang w:val="zh-CN"/>
        </w:rPr>
        <w:t>甲方：</w:t>
      </w:r>
      <w:r>
        <w:rPr>
          <w:rFonts w:hint="eastAsia" w:ascii="仿宋" w:hAnsi="仿宋" w:eastAsia="仿宋" w:cs="仿宋"/>
          <w:bCs/>
          <w:sz w:val="24"/>
          <w:highlight w:val="none"/>
          <w:lang w:val="zh-CN"/>
        </w:rPr>
        <w:t>（前款所称采购人）     住所：</w:t>
      </w:r>
    </w:p>
    <w:p w14:paraId="7B949533">
      <w:pPr>
        <w:tabs>
          <w:tab w:val="left" w:pos="735"/>
        </w:tabs>
        <w:autoSpaceDE w:val="0"/>
        <w:autoSpaceDN w:val="0"/>
        <w:adjustRightInd w:val="0"/>
        <w:snapToGrid w:val="0"/>
        <w:spacing w:line="360" w:lineRule="auto"/>
        <w:rPr>
          <w:rFonts w:ascii="仿宋" w:hAnsi="仿宋" w:eastAsia="仿宋" w:cs="仿宋"/>
          <w:bCs/>
          <w:sz w:val="24"/>
          <w:highlight w:val="none"/>
          <w:lang w:val="zh-CN"/>
        </w:rPr>
      </w:pPr>
      <w:r>
        <w:rPr>
          <w:rFonts w:hint="eastAsia" w:ascii="仿宋" w:hAnsi="仿宋" w:eastAsia="仿宋" w:cs="仿宋"/>
          <w:b/>
          <w:bCs/>
          <w:sz w:val="24"/>
          <w:highlight w:val="none"/>
          <w:lang w:val="zh-CN"/>
        </w:rPr>
        <w:t>乙方：</w:t>
      </w:r>
      <w:r>
        <w:rPr>
          <w:rFonts w:hint="eastAsia" w:ascii="仿宋" w:hAnsi="仿宋" w:eastAsia="仿宋" w:cs="仿宋"/>
          <w:bCs/>
          <w:sz w:val="24"/>
          <w:highlight w:val="none"/>
          <w:lang w:val="zh-CN"/>
        </w:rPr>
        <w:t>（前款所称</w:t>
      </w:r>
      <w:r>
        <w:rPr>
          <w:rFonts w:hint="eastAsia" w:ascii="仿宋" w:hAnsi="仿宋" w:eastAsia="仿宋" w:cs="仿宋"/>
          <w:bCs/>
          <w:sz w:val="24"/>
          <w:highlight w:val="none"/>
        </w:rPr>
        <w:t>成交供应商</w:t>
      </w:r>
      <w:r>
        <w:rPr>
          <w:rFonts w:hint="eastAsia" w:ascii="仿宋" w:hAnsi="仿宋" w:eastAsia="仿宋" w:cs="仿宋"/>
          <w:bCs/>
          <w:sz w:val="24"/>
          <w:highlight w:val="none"/>
          <w:lang w:val="zh-CN"/>
        </w:rPr>
        <w:t>）     住所：</w:t>
      </w:r>
    </w:p>
    <w:p w14:paraId="054156A4">
      <w:pPr>
        <w:adjustRightInd w:val="0"/>
        <w:snapToGrid w:val="0"/>
        <w:spacing w:line="360" w:lineRule="auto"/>
        <w:ind w:firstLine="480" w:firstLineChars="200"/>
        <w:rPr>
          <w:rFonts w:ascii="仿宋" w:hAnsi="仿宋" w:eastAsia="仿宋" w:cs="仿宋"/>
          <w:sz w:val="24"/>
          <w:highlight w:val="none"/>
        </w:rPr>
      </w:pPr>
      <w:bookmarkStart w:id="0" w:name="_Toc19515384"/>
      <w:r>
        <w:rPr>
          <w:rFonts w:hint="eastAsia" w:ascii="仿宋" w:hAnsi="仿宋" w:eastAsia="仿宋" w:cs="仿宋"/>
          <w:sz w:val="24"/>
          <w:highlight w:val="none"/>
        </w:rPr>
        <w:t>一、合同内容（标的、数量、质量等）</w:t>
      </w:r>
      <w:bookmarkEnd w:id="0"/>
      <w:r>
        <w:rPr>
          <w:rFonts w:hint="eastAsia" w:ascii="仿宋" w:hAnsi="仿宋" w:eastAsia="仿宋" w:cs="仿宋"/>
          <w:sz w:val="24"/>
          <w:highlight w:val="none"/>
        </w:rPr>
        <w:t>：</w:t>
      </w:r>
    </w:p>
    <w:p w14:paraId="2F6C53C0">
      <w:pPr>
        <w:adjustRightInd w:val="0"/>
        <w:snapToGrid w:val="0"/>
        <w:spacing w:line="360" w:lineRule="auto"/>
        <w:ind w:firstLine="480" w:firstLineChars="200"/>
        <w:rPr>
          <w:rFonts w:ascii="仿宋" w:hAnsi="仿宋" w:eastAsia="仿宋" w:cs="仿宋"/>
          <w:sz w:val="24"/>
          <w:highlight w:val="none"/>
        </w:rPr>
      </w:pPr>
      <w:bookmarkStart w:id="1" w:name="_Toc19515385"/>
      <w:r>
        <w:rPr>
          <w:rFonts w:hint="eastAsia" w:ascii="仿宋" w:hAnsi="仿宋" w:eastAsia="仿宋" w:cs="仿宋"/>
          <w:sz w:val="24"/>
          <w:highlight w:val="none"/>
        </w:rPr>
        <w:t>二、合同价款</w:t>
      </w:r>
      <w:bookmarkEnd w:id="1"/>
    </w:p>
    <w:p w14:paraId="27F605FC">
      <w:pPr>
        <w:adjustRightInd w:val="0"/>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1、合同总价：</w:t>
      </w:r>
    </w:p>
    <w:p w14:paraId="29569433">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2、合同总价包括：</w:t>
      </w:r>
    </w:p>
    <w:tbl>
      <w:tblPr>
        <w:tblStyle w:val="3"/>
        <w:tblW w:w="7904" w:type="dxa"/>
        <w:jc w:val="center"/>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768"/>
        <w:gridCol w:w="2632"/>
        <w:gridCol w:w="1036"/>
        <w:gridCol w:w="2236"/>
        <w:gridCol w:w="1232"/>
      </w:tblGrid>
      <w:tr w14:paraId="587A38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673" w:hRule="atLeast"/>
          <w:jc w:val="center"/>
        </w:trPr>
        <w:tc>
          <w:tcPr>
            <w:tcW w:w="768" w:type="dxa"/>
            <w:vAlign w:val="center"/>
          </w:tcPr>
          <w:p w14:paraId="211AD722">
            <w:pPr>
              <w:pStyle w:val="5"/>
              <w:jc w:val="center"/>
              <w:rPr>
                <w:sz w:val="24"/>
                <w:szCs w:val="24"/>
                <w:highlight w:val="none"/>
              </w:rPr>
            </w:pPr>
            <w:r>
              <w:rPr>
                <w:rFonts w:hint="eastAsia" w:ascii="仿宋" w:hAnsi="仿宋" w:eastAsia="仿宋" w:cs="仿宋"/>
                <w:b/>
                <w:bCs/>
                <w:sz w:val="24"/>
                <w:szCs w:val="24"/>
                <w:highlight w:val="none"/>
                <w:lang w:eastAsia="zh-CN"/>
              </w:rPr>
              <w:t>序号</w:t>
            </w:r>
          </w:p>
        </w:tc>
        <w:tc>
          <w:tcPr>
            <w:tcW w:w="2632" w:type="dxa"/>
            <w:vAlign w:val="center"/>
          </w:tcPr>
          <w:p w14:paraId="1222BC24">
            <w:pPr>
              <w:pStyle w:val="5"/>
              <w:jc w:val="center"/>
              <w:rPr>
                <w:sz w:val="24"/>
                <w:szCs w:val="24"/>
                <w:highlight w:val="none"/>
              </w:rPr>
            </w:pPr>
            <w:r>
              <w:rPr>
                <w:rFonts w:hint="eastAsia" w:ascii="仿宋" w:hAnsi="仿宋" w:eastAsia="仿宋" w:cs="仿宋"/>
                <w:b/>
                <w:bCs/>
                <w:sz w:val="24"/>
                <w:szCs w:val="24"/>
                <w:highlight w:val="none"/>
                <w:lang w:eastAsia="zh-CN"/>
              </w:rPr>
              <w:t>分项</w:t>
            </w:r>
          </w:p>
        </w:tc>
        <w:tc>
          <w:tcPr>
            <w:tcW w:w="1036" w:type="dxa"/>
            <w:vAlign w:val="center"/>
          </w:tcPr>
          <w:p w14:paraId="4B910177">
            <w:pPr>
              <w:pStyle w:val="5"/>
              <w:jc w:val="center"/>
              <w:rPr>
                <w:sz w:val="24"/>
                <w:szCs w:val="24"/>
                <w:highlight w:val="none"/>
              </w:rPr>
            </w:pPr>
            <w:r>
              <w:rPr>
                <w:rFonts w:hint="eastAsia" w:ascii="仿宋" w:hAnsi="仿宋" w:eastAsia="仿宋" w:cs="仿宋"/>
                <w:b/>
                <w:bCs/>
                <w:sz w:val="24"/>
                <w:szCs w:val="24"/>
                <w:highlight w:val="none"/>
                <w:lang w:eastAsia="zh-CN"/>
              </w:rPr>
              <w:t>数量（</w:t>
            </w:r>
            <w:r>
              <w:rPr>
                <w:rFonts w:hint="eastAsia" w:ascii="仿宋" w:hAnsi="仿宋" w:eastAsia="仿宋" w:cs="仿宋"/>
                <w:b/>
                <w:bCs/>
                <w:sz w:val="24"/>
                <w:szCs w:val="24"/>
                <w:highlight w:val="none"/>
                <w:lang w:val="en-US" w:eastAsia="zh-CN"/>
              </w:rPr>
              <w:t>项</w:t>
            </w:r>
            <w:r>
              <w:rPr>
                <w:rFonts w:hint="eastAsia" w:ascii="仿宋" w:hAnsi="仿宋" w:eastAsia="仿宋" w:cs="仿宋"/>
                <w:b/>
                <w:bCs/>
                <w:sz w:val="24"/>
                <w:szCs w:val="24"/>
                <w:highlight w:val="none"/>
                <w:lang w:eastAsia="zh-CN"/>
              </w:rPr>
              <w:t>）</w:t>
            </w:r>
          </w:p>
        </w:tc>
        <w:tc>
          <w:tcPr>
            <w:tcW w:w="2236" w:type="dxa"/>
            <w:vAlign w:val="center"/>
          </w:tcPr>
          <w:p w14:paraId="70847083">
            <w:pPr>
              <w:pStyle w:val="5"/>
              <w:jc w:val="center"/>
              <w:rPr>
                <w:sz w:val="24"/>
                <w:szCs w:val="24"/>
                <w:highlight w:val="none"/>
              </w:rPr>
            </w:pPr>
            <w:r>
              <w:rPr>
                <w:rFonts w:hint="eastAsia" w:ascii="仿宋" w:hAnsi="仿宋" w:eastAsia="仿宋" w:cs="仿宋"/>
                <w:b/>
                <w:bCs/>
                <w:sz w:val="24"/>
                <w:szCs w:val="24"/>
                <w:highlight w:val="none"/>
                <w:lang w:val="en-US" w:eastAsia="zh-CN"/>
              </w:rPr>
              <w:t>价格</w:t>
            </w:r>
            <w:r>
              <w:rPr>
                <w:rFonts w:hint="eastAsia" w:ascii="仿宋" w:hAnsi="仿宋" w:eastAsia="仿宋" w:cs="仿宋"/>
                <w:b/>
                <w:bCs/>
                <w:sz w:val="24"/>
                <w:szCs w:val="24"/>
                <w:highlight w:val="none"/>
                <w:lang w:eastAsia="zh-CN"/>
              </w:rPr>
              <w:t>（元）</w:t>
            </w:r>
          </w:p>
        </w:tc>
        <w:tc>
          <w:tcPr>
            <w:tcW w:w="1232" w:type="dxa"/>
            <w:vAlign w:val="center"/>
          </w:tcPr>
          <w:p w14:paraId="303264DB">
            <w:pPr>
              <w:pStyle w:val="5"/>
              <w:jc w:val="center"/>
              <w:rPr>
                <w:rFonts w:hint="eastAsia" w:ascii="仿宋_GB2312" w:hAnsi="仿宋_GB2312" w:eastAsia="仿宋_GB2312" w:cs="仿宋_GB2312"/>
                <w:sz w:val="24"/>
                <w:szCs w:val="24"/>
                <w:highlight w:val="none"/>
                <w:lang w:val="en-US" w:eastAsia="zh-CN"/>
              </w:rPr>
            </w:pPr>
            <w:r>
              <w:rPr>
                <w:rFonts w:hint="eastAsia" w:ascii="仿宋" w:hAnsi="仿宋" w:eastAsia="仿宋" w:cs="仿宋"/>
                <w:b/>
                <w:bCs/>
                <w:sz w:val="24"/>
                <w:szCs w:val="24"/>
                <w:highlight w:val="none"/>
                <w:lang w:eastAsia="zh-CN"/>
              </w:rPr>
              <w:t>备注</w:t>
            </w:r>
          </w:p>
        </w:tc>
      </w:tr>
      <w:tr w14:paraId="3DBA21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157" w:hRule="atLeast"/>
          <w:jc w:val="center"/>
        </w:trPr>
        <w:tc>
          <w:tcPr>
            <w:tcW w:w="768" w:type="dxa"/>
            <w:vAlign w:val="center"/>
          </w:tcPr>
          <w:p w14:paraId="619C1D57">
            <w:pPr>
              <w:pStyle w:val="5"/>
              <w:jc w:val="center"/>
              <w:rPr>
                <w:sz w:val="24"/>
                <w:szCs w:val="24"/>
                <w:highlight w:val="none"/>
              </w:rPr>
            </w:pPr>
            <w:r>
              <w:rPr>
                <w:rFonts w:ascii="仿宋_GB2312" w:hAnsi="仿宋_GB2312" w:eastAsia="仿宋_GB2312" w:cs="仿宋_GB2312"/>
                <w:sz w:val="24"/>
                <w:szCs w:val="24"/>
                <w:highlight w:val="none"/>
              </w:rPr>
              <w:t>1</w:t>
            </w:r>
          </w:p>
        </w:tc>
        <w:tc>
          <w:tcPr>
            <w:tcW w:w="2632" w:type="dxa"/>
            <w:vAlign w:val="center"/>
          </w:tcPr>
          <w:p w14:paraId="1BF7B6B5">
            <w:pPr>
              <w:pStyle w:val="5"/>
              <w:jc w:val="both"/>
              <w:rPr>
                <w:rFonts w:hint="eastAsia" w:eastAsiaTheme="minorEastAsia"/>
                <w:sz w:val="24"/>
                <w:szCs w:val="24"/>
                <w:highlight w:val="none"/>
                <w:lang w:eastAsia="zh-CN"/>
              </w:rPr>
            </w:pPr>
            <w:r>
              <w:rPr>
                <w:rFonts w:hint="eastAsia" w:ascii="仿宋_GB2312" w:hAnsi="仿宋_GB2312" w:eastAsia="仿宋_GB2312" w:cs="仿宋_GB2312"/>
                <w:sz w:val="24"/>
                <w:szCs w:val="24"/>
                <w:highlight w:val="none"/>
                <w:lang w:eastAsia="zh-CN"/>
              </w:rPr>
              <w:t>2025年度市政设施视频监控系统延续运维服务项目</w:t>
            </w:r>
          </w:p>
        </w:tc>
        <w:tc>
          <w:tcPr>
            <w:tcW w:w="1036" w:type="dxa"/>
            <w:vAlign w:val="center"/>
          </w:tcPr>
          <w:p w14:paraId="64D5CE79">
            <w:pPr>
              <w:pStyle w:val="5"/>
              <w:jc w:val="center"/>
              <w:rPr>
                <w:sz w:val="24"/>
                <w:szCs w:val="24"/>
                <w:highlight w:val="none"/>
              </w:rPr>
            </w:pPr>
            <w:r>
              <w:rPr>
                <w:rFonts w:hint="eastAsia" w:ascii="仿宋_GB2312" w:hAnsi="仿宋_GB2312" w:eastAsia="仿宋_GB2312" w:cs="仿宋_GB2312"/>
                <w:sz w:val="24"/>
                <w:szCs w:val="24"/>
                <w:highlight w:val="none"/>
                <w:lang w:val="en-US" w:eastAsia="zh-CN"/>
              </w:rPr>
              <w:t>1</w:t>
            </w:r>
          </w:p>
        </w:tc>
        <w:tc>
          <w:tcPr>
            <w:tcW w:w="2236" w:type="dxa"/>
            <w:vAlign w:val="center"/>
          </w:tcPr>
          <w:p w14:paraId="5D866C18">
            <w:pPr>
              <w:pStyle w:val="5"/>
              <w:jc w:val="center"/>
              <w:rPr>
                <w:rFonts w:hint="default" w:eastAsiaTheme="minorEastAsia"/>
                <w:sz w:val="24"/>
                <w:szCs w:val="24"/>
                <w:highlight w:val="none"/>
                <w:lang w:val="en-US" w:eastAsia="zh-CN"/>
              </w:rPr>
            </w:pPr>
          </w:p>
        </w:tc>
        <w:tc>
          <w:tcPr>
            <w:tcW w:w="1232" w:type="dxa"/>
            <w:vAlign w:val="center"/>
          </w:tcPr>
          <w:p w14:paraId="2120A0AA">
            <w:pPr>
              <w:pStyle w:val="5"/>
              <w:jc w:val="center"/>
              <w:rPr>
                <w:rFonts w:hint="eastAsia" w:ascii="仿宋_GB2312" w:hAnsi="仿宋_GB2312" w:eastAsia="仿宋_GB2312" w:cs="仿宋_GB2312"/>
                <w:sz w:val="24"/>
                <w:szCs w:val="24"/>
                <w:highlight w:val="none"/>
                <w:lang w:val="en-US" w:eastAsia="zh-CN"/>
              </w:rPr>
            </w:pPr>
          </w:p>
        </w:tc>
      </w:tr>
      <w:tr w14:paraId="07B422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50" w:hRule="atLeast"/>
          <w:jc w:val="center"/>
        </w:trPr>
        <w:tc>
          <w:tcPr>
            <w:tcW w:w="768" w:type="dxa"/>
            <w:vAlign w:val="center"/>
          </w:tcPr>
          <w:p w14:paraId="113332BD">
            <w:pPr>
              <w:pStyle w:val="5"/>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2</w:t>
            </w:r>
          </w:p>
        </w:tc>
        <w:tc>
          <w:tcPr>
            <w:tcW w:w="2632" w:type="dxa"/>
            <w:vAlign w:val="center"/>
          </w:tcPr>
          <w:p w14:paraId="0AADEA34">
            <w:pPr>
              <w:pStyle w:val="5"/>
              <w:jc w:val="both"/>
              <w:rPr>
                <w:rFonts w:hint="default"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eastAsia="zh-CN"/>
              </w:rPr>
              <w:t>2025年度市政设施视频监控系统延续运维服务项目</w:t>
            </w:r>
            <w:r>
              <w:rPr>
                <w:rFonts w:hint="eastAsia" w:ascii="仿宋_GB2312" w:hAnsi="仿宋_GB2312" w:eastAsia="仿宋_GB2312" w:cs="仿宋_GB2312"/>
                <w:sz w:val="24"/>
                <w:szCs w:val="24"/>
                <w:highlight w:val="none"/>
                <w:lang w:val="en-US" w:eastAsia="zh-CN"/>
              </w:rPr>
              <w:t>4G传输服务</w:t>
            </w:r>
          </w:p>
        </w:tc>
        <w:tc>
          <w:tcPr>
            <w:tcW w:w="1036" w:type="dxa"/>
            <w:vAlign w:val="center"/>
          </w:tcPr>
          <w:p w14:paraId="31986032">
            <w:pPr>
              <w:pStyle w:val="5"/>
              <w:jc w:val="center"/>
              <w:rPr>
                <w:rFonts w:hint="default"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129</w:t>
            </w:r>
          </w:p>
        </w:tc>
        <w:tc>
          <w:tcPr>
            <w:tcW w:w="2236" w:type="dxa"/>
            <w:vAlign w:val="center"/>
          </w:tcPr>
          <w:p w14:paraId="1C0DA1EC">
            <w:pPr>
              <w:pStyle w:val="5"/>
              <w:jc w:val="center"/>
              <w:rPr>
                <w:rFonts w:hint="default" w:ascii="仿宋_GB2312" w:hAnsi="仿宋_GB2312" w:eastAsia="仿宋_GB2312" w:cs="仿宋_GB2312"/>
                <w:sz w:val="24"/>
                <w:szCs w:val="24"/>
                <w:highlight w:val="none"/>
                <w:lang w:val="en-US" w:eastAsia="zh-CN"/>
              </w:rPr>
            </w:pPr>
          </w:p>
        </w:tc>
        <w:tc>
          <w:tcPr>
            <w:tcW w:w="1232" w:type="dxa"/>
            <w:vAlign w:val="center"/>
          </w:tcPr>
          <w:p w14:paraId="5AE0E4A5">
            <w:pPr>
              <w:pStyle w:val="5"/>
              <w:jc w:val="center"/>
              <w:rPr>
                <w:rFonts w:hint="eastAsia" w:ascii="仿宋_GB2312" w:hAnsi="仿宋_GB2312" w:eastAsia="仿宋_GB2312" w:cs="仿宋_GB2312"/>
                <w:sz w:val="24"/>
                <w:szCs w:val="24"/>
                <w:highlight w:val="none"/>
                <w:lang w:val="en-US" w:eastAsia="zh-CN"/>
              </w:rPr>
            </w:pPr>
          </w:p>
        </w:tc>
      </w:tr>
      <w:tr w14:paraId="71861A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50" w:hRule="atLeast"/>
          <w:jc w:val="center"/>
        </w:trPr>
        <w:tc>
          <w:tcPr>
            <w:tcW w:w="3400" w:type="dxa"/>
            <w:gridSpan w:val="2"/>
            <w:vAlign w:val="center"/>
          </w:tcPr>
          <w:p w14:paraId="0C08FC30">
            <w:pPr>
              <w:pStyle w:val="5"/>
              <w:jc w:val="center"/>
              <w:rPr>
                <w:rFonts w:hint="default"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合计（元）</w:t>
            </w:r>
          </w:p>
        </w:tc>
        <w:tc>
          <w:tcPr>
            <w:tcW w:w="4504" w:type="dxa"/>
            <w:gridSpan w:val="3"/>
            <w:vAlign w:val="center"/>
          </w:tcPr>
          <w:p w14:paraId="3F74320F">
            <w:pPr>
              <w:pStyle w:val="5"/>
              <w:jc w:val="center"/>
              <w:rPr>
                <w:rFonts w:hint="eastAsia" w:ascii="仿宋_GB2312" w:hAnsi="仿宋_GB2312" w:eastAsia="仿宋_GB2312" w:cs="仿宋_GB2312"/>
                <w:sz w:val="24"/>
                <w:szCs w:val="24"/>
                <w:highlight w:val="none"/>
                <w:lang w:val="en-US" w:eastAsia="zh-CN"/>
              </w:rPr>
            </w:pPr>
          </w:p>
        </w:tc>
      </w:tr>
    </w:tbl>
    <w:p w14:paraId="06B85184">
      <w:pPr>
        <w:adjustRightInd w:val="0"/>
        <w:snapToGrid w:val="0"/>
        <w:spacing w:line="360" w:lineRule="auto"/>
        <w:ind w:firstLine="420" w:firstLineChars="200"/>
        <w:rPr>
          <w:highlight w:val="none"/>
        </w:rPr>
      </w:pPr>
    </w:p>
    <w:p w14:paraId="14804A42">
      <w:pPr>
        <w:adjustRightInd w:val="0"/>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3、合同为固定总价合同，不受市场价变化的影响。</w:t>
      </w:r>
    </w:p>
    <w:p w14:paraId="1D8376A6">
      <w:pPr>
        <w:adjustRightInd w:val="0"/>
        <w:snapToGrid w:val="0"/>
        <w:spacing w:line="360" w:lineRule="auto"/>
        <w:ind w:firstLine="480" w:firstLineChars="200"/>
        <w:rPr>
          <w:rFonts w:ascii="仿宋" w:hAnsi="仿宋" w:eastAsia="仿宋" w:cs="仿宋"/>
          <w:sz w:val="24"/>
          <w:highlight w:val="none"/>
        </w:rPr>
      </w:pPr>
      <w:bookmarkStart w:id="2" w:name="_Toc19515386"/>
      <w:r>
        <w:rPr>
          <w:rFonts w:hint="eastAsia" w:ascii="仿宋" w:hAnsi="仿宋" w:eastAsia="仿宋" w:cs="仿宋"/>
          <w:sz w:val="24"/>
          <w:highlight w:val="none"/>
        </w:rPr>
        <w:t>三、合同结算</w:t>
      </w:r>
      <w:bookmarkEnd w:id="2"/>
    </w:p>
    <w:p w14:paraId="57315B5A">
      <w:pPr>
        <w:adjustRightInd w:val="0"/>
        <w:snapToGrid w:val="0"/>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结算方式：银行转账。</w:t>
      </w:r>
    </w:p>
    <w:p w14:paraId="6B932C21">
      <w:pPr>
        <w:numPr>
          <w:ilvl w:val="0"/>
          <w:numId w:val="0"/>
        </w:numPr>
        <w:adjustRightInd w:val="0"/>
        <w:snapToGrid w:val="0"/>
        <w:spacing w:line="360" w:lineRule="auto"/>
        <w:ind w:firstLine="480" w:firstLineChars="200"/>
        <w:rPr>
          <w:rFonts w:hint="eastAsia" w:ascii="仿宋_GB2312" w:hAnsi="仿宋_GB2312" w:eastAsia="仿宋_GB2312" w:cs="仿宋_GB2312"/>
          <w:sz w:val="24"/>
          <w:szCs w:val="24"/>
          <w:highlight w:val="none"/>
          <w:lang w:eastAsia="zh-CN"/>
        </w:rPr>
      </w:pPr>
      <w:bookmarkStart w:id="3" w:name="_Toc19515387"/>
      <w:r>
        <w:rPr>
          <w:rFonts w:ascii="仿宋_GB2312" w:hAnsi="仿宋_GB2312" w:eastAsia="仿宋_GB2312" w:cs="仿宋_GB2312"/>
          <w:sz w:val="24"/>
          <w:szCs w:val="24"/>
          <w:highlight w:val="none"/>
        </w:rPr>
        <w:t xml:space="preserve">付款条件说明： </w:t>
      </w:r>
      <w:r>
        <w:rPr>
          <w:rFonts w:hint="eastAsia" w:ascii="仿宋_GB2312" w:hAnsi="仿宋_GB2312" w:eastAsia="仿宋_GB2312" w:cs="仿宋_GB2312"/>
          <w:sz w:val="24"/>
          <w:szCs w:val="24"/>
          <w:highlight w:val="none"/>
          <w:u w:val="single"/>
          <w:lang w:val="en-US" w:eastAsia="zh-CN"/>
        </w:rPr>
        <w:t xml:space="preserve"> 合同签订后，支付合同价款的70%</w:t>
      </w:r>
      <w:r>
        <w:rPr>
          <w:rFonts w:ascii="仿宋_GB2312" w:hAnsi="仿宋_GB2312" w:eastAsia="仿宋_GB2312" w:cs="仿宋_GB2312"/>
          <w:sz w:val="24"/>
          <w:szCs w:val="24"/>
          <w:highlight w:val="none"/>
        </w:rPr>
        <w:t>，</w:t>
      </w:r>
      <w:r>
        <w:rPr>
          <w:rFonts w:hint="eastAsia" w:ascii="仿宋_GB2312" w:hAnsi="仿宋_GB2312" w:eastAsia="仿宋_GB2312" w:cs="仿宋_GB2312"/>
          <w:sz w:val="24"/>
          <w:szCs w:val="24"/>
          <w:highlight w:val="none"/>
          <w:lang w:eastAsia="zh-CN"/>
        </w:rPr>
        <w:t>本年度年底验收后</w:t>
      </w:r>
      <w:r>
        <w:rPr>
          <w:rFonts w:ascii="仿宋_GB2312" w:hAnsi="仿宋_GB2312" w:eastAsia="仿宋_GB2312" w:cs="仿宋_GB2312"/>
          <w:sz w:val="24"/>
          <w:szCs w:val="24"/>
          <w:highlight w:val="none"/>
        </w:rPr>
        <w:t>，支付合同总金额的</w:t>
      </w:r>
      <w:r>
        <w:rPr>
          <w:rFonts w:hint="eastAsia" w:ascii="仿宋_GB2312" w:hAnsi="仿宋_GB2312" w:eastAsia="仿宋_GB2312" w:cs="仿宋_GB2312"/>
          <w:sz w:val="24"/>
          <w:szCs w:val="24"/>
          <w:highlight w:val="none"/>
          <w:u w:val="single"/>
          <w:lang w:val="en-US" w:eastAsia="zh-CN"/>
        </w:rPr>
        <w:t>30</w:t>
      </w:r>
      <w:r>
        <w:rPr>
          <w:rFonts w:ascii="仿宋_GB2312" w:hAnsi="仿宋_GB2312" w:eastAsia="仿宋_GB2312" w:cs="仿宋_GB2312"/>
          <w:sz w:val="24"/>
          <w:szCs w:val="24"/>
          <w:highlight w:val="none"/>
        </w:rPr>
        <w:t>%</w:t>
      </w:r>
      <w:r>
        <w:rPr>
          <w:rFonts w:hint="eastAsia" w:ascii="仿宋_GB2312" w:hAnsi="仿宋_GB2312" w:eastAsia="仿宋_GB2312" w:cs="仿宋_GB2312"/>
          <w:sz w:val="24"/>
          <w:szCs w:val="24"/>
          <w:highlight w:val="none"/>
          <w:lang w:eastAsia="zh-CN"/>
        </w:rPr>
        <w:t>。</w:t>
      </w:r>
    </w:p>
    <w:p w14:paraId="701D08D1">
      <w:pPr>
        <w:numPr>
          <w:ilvl w:val="0"/>
          <w:numId w:val="0"/>
        </w:numPr>
        <w:adjustRightInd w:val="0"/>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合同履行期</w:t>
      </w:r>
      <w:bookmarkEnd w:id="3"/>
      <w:bookmarkStart w:id="4" w:name="_Toc19515390"/>
      <w:r>
        <w:rPr>
          <w:rFonts w:hint="eastAsia" w:ascii="仿宋" w:hAnsi="仿宋" w:eastAsia="仿宋" w:cs="仿宋"/>
          <w:sz w:val="24"/>
          <w:highlight w:val="none"/>
        </w:rPr>
        <w:t>：</w:t>
      </w:r>
      <w:r>
        <w:rPr>
          <w:rFonts w:hint="eastAsia" w:ascii="仿宋_GB2312" w:hAnsi="仿宋_GB2312" w:eastAsia="仿宋_GB2312" w:cs="仿宋_GB2312"/>
          <w:bCs/>
          <w:sz w:val="24"/>
          <w:highlight w:val="none"/>
        </w:rPr>
        <w:t>1年期</w:t>
      </w:r>
    </w:p>
    <w:p w14:paraId="4A689DB8">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五、技术服务</w:t>
      </w:r>
      <w:bookmarkEnd w:id="4"/>
    </w:p>
    <w:p w14:paraId="2CF1F530">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1、对技术服务的要求：</w:t>
      </w:r>
    </w:p>
    <w:p w14:paraId="27CE0422">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2、技术资料：</w:t>
      </w:r>
    </w:p>
    <w:p w14:paraId="3FFE5707">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3、技术培训：</w:t>
      </w:r>
    </w:p>
    <w:p w14:paraId="3E2EFBC7">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3-1、培训内容：</w:t>
      </w:r>
    </w:p>
    <w:p w14:paraId="6471B456">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3-2、培训地点：</w:t>
      </w:r>
    </w:p>
    <w:p w14:paraId="7BBC3AF8">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3-3、培训时间：</w:t>
      </w:r>
    </w:p>
    <w:p w14:paraId="36FDF712">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3-4、培训人数：</w:t>
      </w:r>
    </w:p>
    <w:p w14:paraId="24220A80">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3-5、培训费用：受训人员的食宿费、资料费、培训场地费、耗材（包括水电费等）费等已包含在合同总价中，甲方不再另行支付。</w:t>
      </w:r>
    </w:p>
    <w:p w14:paraId="54172457">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4、售后服务</w:t>
      </w:r>
    </w:p>
    <w:p w14:paraId="3742D34D">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4-1、乙方在接到甲方电话通知后</w:t>
      </w:r>
      <w:r>
        <w:rPr>
          <w:rFonts w:hint="eastAsia" w:ascii="仿宋" w:hAnsi="仿宋" w:eastAsia="仿宋" w:cs="仿宋"/>
          <w:color w:val="auto"/>
          <w:sz w:val="24"/>
        </w:rPr>
        <w:t>在</w:t>
      </w:r>
      <w:r>
        <w:rPr>
          <w:rFonts w:hint="eastAsia" w:ascii="仿宋" w:hAnsi="仿宋" w:eastAsia="仿宋" w:cs="仿宋"/>
          <w:color w:val="auto"/>
          <w:sz w:val="24"/>
          <w:lang w:val="en-US" w:eastAsia="zh-CN"/>
        </w:rPr>
        <w:t>2</w:t>
      </w:r>
      <w:r>
        <w:rPr>
          <w:rFonts w:hint="eastAsia" w:ascii="仿宋" w:hAnsi="仿宋" w:eastAsia="仿宋" w:cs="仿宋"/>
          <w:color w:val="auto"/>
          <w:sz w:val="24"/>
        </w:rPr>
        <w:t>小时</w:t>
      </w:r>
      <w:r>
        <w:rPr>
          <w:rFonts w:hint="eastAsia" w:ascii="仿宋" w:hAnsi="仿宋" w:eastAsia="仿宋" w:cs="仿宋"/>
          <w:sz w:val="24"/>
        </w:rPr>
        <w:t>内派出合格的服务人员到达现场进行服务，承担相应费用。</w:t>
      </w:r>
    </w:p>
    <w:p w14:paraId="159758F3">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4-2、如果乙方在收到通知后两天内没有弥补缺陷，甲方可采取必要的补救措施，但其风险和费用将由乙方承担，甲方根据合同规定对乙方行使的其它权力不受影响。</w:t>
      </w:r>
    </w:p>
    <w:p w14:paraId="605CAABA">
      <w:pPr>
        <w:adjustRightInd w:val="0"/>
        <w:snapToGrid w:val="0"/>
        <w:spacing w:line="360" w:lineRule="auto"/>
        <w:ind w:firstLine="480" w:firstLineChars="200"/>
        <w:rPr>
          <w:rFonts w:ascii="仿宋" w:hAnsi="仿宋" w:eastAsia="仿宋" w:cs="仿宋"/>
          <w:sz w:val="24"/>
        </w:rPr>
      </w:pPr>
      <w:bookmarkStart w:id="5" w:name="_Toc19515392"/>
      <w:r>
        <w:rPr>
          <w:rFonts w:hint="eastAsia" w:ascii="仿宋" w:hAnsi="仿宋" w:eastAsia="仿宋" w:cs="仿宋"/>
          <w:sz w:val="24"/>
        </w:rPr>
        <w:t>六、违约责任</w:t>
      </w:r>
      <w:bookmarkEnd w:id="5"/>
    </w:p>
    <w:p w14:paraId="7A411899">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1、按《中华人民共和国民法典》中的相关条款执行。</w:t>
      </w:r>
    </w:p>
    <w:p w14:paraId="67A5D167">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2、乙方履约延误</w:t>
      </w:r>
    </w:p>
    <w:p w14:paraId="763833B2">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2-1、如乙方事先未征得甲方同意并得到甲方的谅解而单方面延迟执行合同，将按违约终止合同。</w:t>
      </w:r>
    </w:p>
    <w:p w14:paraId="4BF7A73D">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2-2、在履行合同过程中，如果乙方遇到可能妨碍按时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合同金额的百分之零点五（0.5%）计收，直至提供服务为止。误期赔偿费的最高限额为合同价格的百分之五（5%）。一旦达到误期赔偿费的最高限额，甲方可终止合同。</w:t>
      </w:r>
    </w:p>
    <w:p w14:paraId="19C9F163">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3、违约终止合同：未按合同要求提供服务或不能满足技术要求，甲方会同监督机构有权终止合同，对乙方违约行为进行追究，同时按政府采购法的有关规定进行相应的处罚。</w:t>
      </w:r>
    </w:p>
    <w:p w14:paraId="44F0F5B9">
      <w:pPr>
        <w:adjustRightInd w:val="0"/>
        <w:snapToGrid w:val="0"/>
        <w:spacing w:line="360" w:lineRule="auto"/>
        <w:ind w:firstLine="480" w:firstLineChars="200"/>
        <w:rPr>
          <w:rFonts w:ascii="仿宋" w:hAnsi="仿宋" w:eastAsia="仿宋" w:cs="仿宋"/>
          <w:sz w:val="24"/>
        </w:rPr>
      </w:pPr>
      <w:bookmarkStart w:id="6" w:name="_Toc19515393"/>
      <w:r>
        <w:rPr>
          <w:rFonts w:hint="eastAsia" w:ascii="仿宋" w:hAnsi="仿宋" w:eastAsia="仿宋" w:cs="仿宋"/>
          <w:sz w:val="24"/>
        </w:rPr>
        <w:t>七、合同组成</w:t>
      </w:r>
      <w:bookmarkEnd w:id="6"/>
    </w:p>
    <w:p w14:paraId="2A080436">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1、成交通知书</w:t>
      </w:r>
    </w:p>
    <w:p w14:paraId="415ABA16">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2、合同文件</w:t>
      </w:r>
    </w:p>
    <w:p w14:paraId="423F51B4">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3、国家相关规范及标准</w:t>
      </w:r>
    </w:p>
    <w:p w14:paraId="08F32C9F">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4、竞争性磋商文件</w:t>
      </w:r>
    </w:p>
    <w:p w14:paraId="7F66D45B">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5、成交供应商的响应文件</w:t>
      </w:r>
    </w:p>
    <w:p w14:paraId="5CA7CAE7">
      <w:pPr>
        <w:adjustRightInd w:val="0"/>
        <w:snapToGrid w:val="0"/>
        <w:spacing w:line="360" w:lineRule="auto"/>
        <w:ind w:firstLine="480" w:firstLineChars="200"/>
        <w:rPr>
          <w:rFonts w:ascii="仿宋" w:hAnsi="仿宋" w:eastAsia="仿宋" w:cs="仿宋"/>
          <w:sz w:val="24"/>
        </w:rPr>
      </w:pPr>
      <w:bookmarkStart w:id="7" w:name="_Toc19515394"/>
      <w:r>
        <w:rPr>
          <w:rFonts w:hint="eastAsia" w:ascii="仿宋" w:hAnsi="仿宋" w:eastAsia="仿宋" w:cs="仿宋"/>
          <w:sz w:val="24"/>
        </w:rPr>
        <w:t>八、解决争议的方法</w:t>
      </w:r>
      <w:bookmarkEnd w:id="7"/>
    </w:p>
    <w:p w14:paraId="276ACA95">
      <w:pPr>
        <w:widowControl/>
        <w:autoSpaceDE w:val="0"/>
        <w:autoSpaceDN w:val="0"/>
        <w:snapToGrid w:val="0"/>
        <w:spacing w:line="360" w:lineRule="auto"/>
        <w:ind w:right="-110" w:firstLine="480" w:firstLineChars="200"/>
        <w:textAlignment w:val="bottom"/>
        <w:rPr>
          <w:rFonts w:ascii="仿宋" w:hAnsi="仿宋" w:eastAsia="仿宋" w:cs="仿宋"/>
          <w:kern w:val="0"/>
          <w:sz w:val="24"/>
        </w:rPr>
      </w:pPr>
      <w:r>
        <w:rPr>
          <w:rFonts w:hint="eastAsia" w:ascii="仿宋" w:hAnsi="仿宋" w:eastAsia="仿宋" w:cs="仿宋"/>
          <w:kern w:val="0"/>
          <w:sz w:val="24"/>
        </w:rPr>
        <w:t>凡因本合同引起的或与本合同有关的争议，双方应友好协商解决。协商不成时，双方均同意采用以下第</w:t>
      </w:r>
      <w:r>
        <w:rPr>
          <w:rFonts w:hint="eastAsia" w:ascii="仿宋" w:hAnsi="仿宋" w:eastAsia="仿宋" w:cs="仿宋"/>
          <w:kern w:val="0"/>
          <w:sz w:val="24"/>
          <w:lang w:val="en-US" w:eastAsia="zh-CN"/>
        </w:rPr>
        <w:t>1</w:t>
      </w:r>
      <w:r>
        <w:rPr>
          <w:rFonts w:hint="eastAsia" w:ascii="仿宋" w:hAnsi="仿宋" w:eastAsia="仿宋" w:cs="仿宋"/>
          <w:kern w:val="0"/>
          <w:sz w:val="24"/>
        </w:rPr>
        <w:t>种争议解决方式：</w:t>
      </w:r>
    </w:p>
    <w:p w14:paraId="2578DE9F">
      <w:pPr>
        <w:widowControl/>
        <w:autoSpaceDE w:val="0"/>
        <w:autoSpaceDN w:val="0"/>
        <w:snapToGrid w:val="0"/>
        <w:spacing w:line="360" w:lineRule="auto"/>
        <w:ind w:right="-110" w:firstLine="480" w:firstLineChars="200"/>
        <w:textAlignment w:val="bottom"/>
        <w:rPr>
          <w:rFonts w:ascii="仿宋" w:hAnsi="仿宋" w:eastAsia="仿宋" w:cs="仿宋"/>
          <w:kern w:val="0"/>
          <w:sz w:val="24"/>
        </w:rPr>
      </w:pPr>
      <w:r>
        <w:rPr>
          <w:rFonts w:hint="eastAsia" w:ascii="仿宋" w:hAnsi="仿宋" w:eastAsia="仿宋" w:cs="仿宋"/>
          <w:kern w:val="0"/>
          <w:sz w:val="24"/>
        </w:rPr>
        <w:t>1、甲、乙双方均同意向（甲方所在地人民法院）提起诉讼。</w:t>
      </w:r>
    </w:p>
    <w:p w14:paraId="1CA00EDF">
      <w:pPr>
        <w:widowControl/>
        <w:autoSpaceDE w:val="0"/>
        <w:autoSpaceDN w:val="0"/>
        <w:snapToGrid w:val="0"/>
        <w:spacing w:line="360" w:lineRule="auto"/>
        <w:ind w:right="-110" w:firstLine="480" w:firstLineChars="200"/>
        <w:textAlignment w:val="bottom"/>
        <w:rPr>
          <w:rFonts w:ascii="仿宋" w:hAnsi="仿宋" w:eastAsia="仿宋" w:cs="仿宋"/>
          <w:kern w:val="0"/>
          <w:sz w:val="24"/>
        </w:rPr>
      </w:pPr>
      <w:r>
        <w:rPr>
          <w:rFonts w:hint="eastAsia" w:ascii="仿宋" w:hAnsi="仿宋" w:eastAsia="仿宋" w:cs="仿宋"/>
          <w:kern w:val="0"/>
          <w:sz w:val="24"/>
        </w:rPr>
        <w:t>2、甲、乙双方均同意向（</w:t>
      </w:r>
      <w:r>
        <w:fldChar w:fldCharType="begin"/>
      </w:r>
      <w:r>
        <w:instrText xml:space="preserve"> HYPERLINK "http://www.baidu.com/s?wd=%E4%BB%B2%E8%A3%81%E5%A7%94%E5%91%98%E4%BC%9A&amp;tn=SE_PcZhidaonwhc_ngpagmjz&amp;rsv_dl=gh_pc_zhidao" \t "_blank" </w:instrText>
      </w:r>
      <w:r>
        <w:fldChar w:fldCharType="separate"/>
      </w:r>
      <w:r>
        <w:rPr>
          <w:rFonts w:hint="eastAsia" w:ascii="仿宋" w:hAnsi="仿宋" w:eastAsia="仿宋" w:cs="仿宋"/>
          <w:kern w:val="0"/>
          <w:sz w:val="24"/>
        </w:rPr>
        <w:t>仲裁委员会</w:t>
      </w:r>
      <w:r>
        <w:rPr>
          <w:rFonts w:hint="eastAsia" w:ascii="仿宋" w:hAnsi="仿宋" w:eastAsia="仿宋" w:cs="仿宋"/>
          <w:kern w:val="0"/>
          <w:sz w:val="24"/>
        </w:rPr>
        <w:fldChar w:fldCharType="end"/>
      </w:r>
      <w:r>
        <w:rPr>
          <w:rFonts w:hint="eastAsia" w:ascii="仿宋" w:hAnsi="仿宋" w:eastAsia="仿宋" w:cs="仿宋"/>
          <w:kern w:val="0"/>
          <w:sz w:val="24"/>
        </w:rPr>
        <w:t>）提起仲裁。</w:t>
      </w:r>
    </w:p>
    <w:p w14:paraId="4A17751D">
      <w:pPr>
        <w:adjustRightInd w:val="0"/>
        <w:snapToGrid w:val="0"/>
        <w:spacing w:line="360" w:lineRule="auto"/>
        <w:ind w:firstLine="480" w:firstLineChars="200"/>
        <w:rPr>
          <w:rFonts w:ascii="仿宋" w:hAnsi="仿宋" w:eastAsia="仿宋" w:cs="仿宋"/>
          <w:sz w:val="24"/>
        </w:rPr>
      </w:pPr>
      <w:bookmarkStart w:id="8" w:name="_Toc19515395"/>
      <w:r>
        <w:rPr>
          <w:rFonts w:hint="eastAsia" w:ascii="仿宋" w:hAnsi="仿宋" w:eastAsia="仿宋" w:cs="仿宋"/>
          <w:sz w:val="24"/>
        </w:rPr>
        <w:t>十、合同生效及其它</w:t>
      </w:r>
      <w:bookmarkEnd w:id="8"/>
    </w:p>
    <w:p w14:paraId="6E80F095">
      <w:pPr>
        <w:widowControl/>
        <w:autoSpaceDE w:val="0"/>
        <w:autoSpaceDN w:val="0"/>
        <w:snapToGrid w:val="0"/>
        <w:spacing w:line="360" w:lineRule="auto"/>
        <w:ind w:right="-110" w:firstLine="480" w:firstLineChars="200"/>
        <w:textAlignment w:val="bottom"/>
        <w:rPr>
          <w:rFonts w:ascii="仿宋" w:hAnsi="仿宋" w:eastAsia="仿宋" w:cs="仿宋"/>
          <w:kern w:val="0"/>
          <w:sz w:val="24"/>
        </w:rPr>
      </w:pPr>
      <w:r>
        <w:rPr>
          <w:rFonts w:hint="eastAsia" w:ascii="仿宋" w:hAnsi="仿宋" w:eastAsia="仿宋" w:cs="仿宋"/>
          <w:kern w:val="0"/>
          <w:sz w:val="24"/>
        </w:rPr>
        <w:t>1、合同未尽事宜、由甲、乙双方协商，作为合同补充，与原合同具有同等法律效力。</w:t>
      </w:r>
    </w:p>
    <w:p w14:paraId="172B31DE">
      <w:pPr>
        <w:widowControl/>
        <w:tabs>
          <w:tab w:val="left" w:pos="8391"/>
        </w:tabs>
        <w:autoSpaceDE w:val="0"/>
        <w:autoSpaceDN w:val="0"/>
        <w:snapToGrid w:val="0"/>
        <w:spacing w:line="360" w:lineRule="auto"/>
        <w:ind w:right="-69" w:firstLine="480" w:firstLineChars="200"/>
        <w:textAlignment w:val="bottom"/>
        <w:rPr>
          <w:rFonts w:ascii="仿宋" w:hAnsi="仿宋" w:eastAsia="仿宋" w:cs="仿宋"/>
          <w:kern w:val="0"/>
          <w:sz w:val="24"/>
        </w:rPr>
      </w:pPr>
      <w:r>
        <w:rPr>
          <w:rFonts w:hint="eastAsia" w:ascii="仿宋" w:hAnsi="仿宋" w:eastAsia="仿宋" w:cs="仿宋"/>
          <w:kern w:val="0"/>
          <w:sz w:val="24"/>
        </w:rPr>
        <w:t>2、 本合同正本一式份，甲方、乙方双方分别执份，备案份。</w:t>
      </w:r>
    </w:p>
    <w:p w14:paraId="48162B4E">
      <w:pPr>
        <w:widowControl/>
        <w:tabs>
          <w:tab w:val="left" w:pos="8391"/>
        </w:tabs>
        <w:autoSpaceDE w:val="0"/>
        <w:autoSpaceDN w:val="0"/>
        <w:snapToGrid w:val="0"/>
        <w:spacing w:line="360" w:lineRule="auto"/>
        <w:ind w:right="-69" w:firstLine="480" w:firstLineChars="200"/>
        <w:textAlignment w:val="bottom"/>
        <w:rPr>
          <w:rFonts w:ascii="仿宋" w:hAnsi="仿宋" w:eastAsia="仿宋" w:cs="仿宋"/>
          <w:kern w:val="0"/>
          <w:sz w:val="24"/>
        </w:rPr>
      </w:pPr>
      <w:r>
        <w:rPr>
          <w:rFonts w:hint="eastAsia" w:ascii="仿宋" w:hAnsi="仿宋" w:eastAsia="仿宋" w:cs="仿宋"/>
          <w:kern w:val="0"/>
          <w:sz w:val="24"/>
        </w:rPr>
        <w:t>3、合同经甲乙双方盖章、签字后生效，合同签订地点为。</w:t>
      </w:r>
    </w:p>
    <w:p w14:paraId="51F075F9">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4、生效时间：年月日</w:t>
      </w:r>
    </w:p>
    <w:p w14:paraId="1671DF06">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5、合同签订时另附安全协议作为合同一部分，与正式合同具有相同法律效应。</w:t>
      </w:r>
    </w:p>
    <w:p w14:paraId="37FF3D7A">
      <w:pPr>
        <w:widowControl/>
        <w:autoSpaceDE w:val="0"/>
        <w:autoSpaceDN w:val="0"/>
        <w:snapToGrid w:val="0"/>
        <w:spacing w:line="360" w:lineRule="auto"/>
        <w:ind w:right="-154"/>
        <w:textAlignment w:val="bottom"/>
        <w:rPr>
          <w:rFonts w:ascii="仿宋" w:hAnsi="仿宋" w:eastAsia="仿宋" w:cs="仿宋"/>
          <w:kern w:val="0"/>
          <w:sz w:val="24"/>
        </w:rPr>
      </w:pPr>
    </w:p>
    <w:tbl>
      <w:tblPr>
        <w:tblStyle w:val="3"/>
        <w:tblW w:w="0" w:type="auto"/>
        <w:jc w:val="center"/>
        <w:tblLayout w:type="fixed"/>
        <w:tblCellMar>
          <w:top w:w="0" w:type="dxa"/>
          <w:left w:w="108" w:type="dxa"/>
          <w:bottom w:w="0" w:type="dxa"/>
          <w:right w:w="108" w:type="dxa"/>
        </w:tblCellMar>
      </w:tblPr>
      <w:tblGrid>
        <w:gridCol w:w="4643"/>
        <w:gridCol w:w="4643"/>
      </w:tblGrid>
      <w:tr w14:paraId="231D553B">
        <w:tblPrEx>
          <w:tblCellMar>
            <w:top w:w="0" w:type="dxa"/>
            <w:left w:w="108" w:type="dxa"/>
            <w:bottom w:w="0" w:type="dxa"/>
            <w:right w:w="108" w:type="dxa"/>
          </w:tblCellMar>
        </w:tblPrEx>
        <w:trPr>
          <w:jc w:val="center"/>
        </w:trPr>
        <w:tc>
          <w:tcPr>
            <w:tcW w:w="4643" w:type="dxa"/>
          </w:tcPr>
          <w:p w14:paraId="446BE024">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甲方（盖章）：</w:t>
            </w:r>
          </w:p>
          <w:p w14:paraId="4C274646">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地址：</w:t>
            </w:r>
          </w:p>
          <w:p w14:paraId="5B601E31">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代表人（签字）：</w:t>
            </w:r>
          </w:p>
          <w:p w14:paraId="7FE4F8C8">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经办人（签字）：</w:t>
            </w:r>
          </w:p>
          <w:p w14:paraId="2200BEE4">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电话：</w:t>
            </w:r>
          </w:p>
          <w:p w14:paraId="4DB330AF">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开户银行：</w:t>
            </w:r>
          </w:p>
          <w:p w14:paraId="3C085A8F">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账号：</w:t>
            </w:r>
          </w:p>
        </w:tc>
        <w:tc>
          <w:tcPr>
            <w:tcW w:w="4643" w:type="dxa"/>
          </w:tcPr>
          <w:p w14:paraId="43262792">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乙方（盖章）：</w:t>
            </w:r>
          </w:p>
          <w:p w14:paraId="5A86CC83">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地址：</w:t>
            </w:r>
          </w:p>
          <w:p w14:paraId="6DB21CEB">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代表人（签字）：</w:t>
            </w:r>
          </w:p>
          <w:p w14:paraId="23FC519E">
            <w:pPr>
              <w:widowControl/>
              <w:autoSpaceDE w:val="0"/>
              <w:autoSpaceDN w:val="0"/>
              <w:snapToGrid w:val="0"/>
              <w:spacing w:line="360" w:lineRule="auto"/>
              <w:ind w:right="-154"/>
              <w:textAlignment w:val="bottom"/>
              <w:rPr>
                <w:rFonts w:hint="eastAsia" w:ascii="仿宋" w:hAnsi="仿宋" w:eastAsia="仿宋" w:cs="仿宋"/>
                <w:kern w:val="0"/>
                <w:sz w:val="24"/>
              </w:rPr>
            </w:pPr>
          </w:p>
          <w:p w14:paraId="44B76129">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电话：</w:t>
            </w:r>
          </w:p>
          <w:p w14:paraId="709638A8">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开户银行：</w:t>
            </w:r>
          </w:p>
          <w:p w14:paraId="577B7DBF">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账号：</w:t>
            </w:r>
          </w:p>
        </w:tc>
      </w:tr>
    </w:tbl>
    <w:p w14:paraId="3B974BC1"/>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28538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2025-08-13T02:50:45Z</dcterms:created>
  <dc:creator>admin</dc:creator>
  <cp:lastModifiedBy>admin</cp:lastModifiedBy>
  <dcterms:modified xsi:type="dcterms:W3CDTF">2025-08-13T02:52:09Z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eyJoZGlkIjoiZmJjZWFjOTk1OWRkMjc0OTA1YmRlOTRiZGFhNTVlZWEifQ==</vt:lpwstr>
  </property>
  <property fmtid="{D5CDD505-2E9C-101B-9397-08002B2CF9AE}" pid="4" name="ICV">
    <vt:lpwstr>742DF0C68D064C4CA3C8BA25AF40B7DF_12</vt:lpwstr>
  </property>
</Properties>
</file>