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版本号：SXLXFW-2025-03720250813001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西安市地质灾害防治“十五五”规划专题研究和编制项目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SXLXFW-2025-037</w:t>
      </w:r>
      <w:r>
        <w:br/>
      </w:r>
      <w:r>
        <w:br/>
      </w:r>
      <w:r>
        <w:br/>
      </w:r>
    </w:p>
    <w:p>
      <w:pPr>
        <w:pStyle w:val="null3"/>
        <w:jc w:val="center"/>
        <w:outlineLvl w:val="2"/>
      </w:pPr>
      <w:r>
        <w:rPr>
          <w:rFonts w:ascii="仿宋_GB2312" w:hAnsi="仿宋_GB2312" w:cs="仿宋_GB2312" w:eastAsia="仿宋_GB2312"/>
          <w:sz w:val="28"/>
          <w:b/>
        </w:rPr>
        <w:t>西安市自然资源和规划局（本级）</w:t>
      </w:r>
    </w:p>
    <w:p>
      <w:pPr>
        <w:pStyle w:val="null3"/>
        <w:jc w:val="center"/>
        <w:outlineLvl w:val="2"/>
      </w:pPr>
      <w:r>
        <w:rPr>
          <w:rFonts w:ascii="仿宋_GB2312" w:hAnsi="仿宋_GB2312" w:cs="仿宋_GB2312" w:eastAsia="仿宋_GB2312"/>
          <w:sz w:val="28"/>
          <w:b/>
        </w:rPr>
        <w:t>陕西立信工程项目管理有限公司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陕西立信工程项目管理有限公司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西安市自然资源和规划局（本级）</w:t>
      </w:r>
      <w:r>
        <w:rPr>
          <w:rFonts w:ascii="仿宋_GB2312" w:hAnsi="仿宋_GB2312" w:cs="仿宋_GB2312" w:eastAsia="仿宋_GB2312"/>
        </w:rPr>
        <w:t>委托，拟对</w:t>
      </w:r>
      <w:r>
        <w:rPr>
          <w:rFonts w:ascii="仿宋_GB2312" w:hAnsi="仿宋_GB2312" w:cs="仿宋_GB2312" w:eastAsia="仿宋_GB2312"/>
        </w:rPr>
        <w:t>西安市地质灾害防治“十五五”规划专题研究和编制项目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SXLXFW-2025-037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西安市地质灾害防治“十五五”规划专题研究和编制项目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贯彻落实地质灾害以人为本、预防为主、统筹规划的防治原则,有效防治地质灾害，保护人民生命财产安全。按照《地质灾害防治条例》《陕西省地质灾害防治条例》要求，县级以上地方人民政府自然资源主管部门会同同级建设、水利、交通等部门，编制本行政区域的地质灾害防治规划，经专家论证后报本级人民政府批准公布，并报上一级人民政府自然资源主管部门备案。2025年5月28日，市委、市政府印发了《西安市国民经济和社会发展第十五个五年规划编制工作实施方案》，明确了《西安市地质灾害“十五五”规划》作为一般专项规划由市资源规划局牵头编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3、财务状况报告：供应商提供2023年度或2024年度经审计的财务审计报告（事业法人可提供部门决算报告）；或提供供应商基本账户出具的资信证明；或提供政府采购专业担保机构出具的投标担保函，供应商需在项目电子化交易系统中按要求上传相应证明文件。</w:t>
      </w:r>
    </w:p>
    <w:p>
      <w:pPr>
        <w:pStyle w:val="null3"/>
      </w:pPr>
      <w:r>
        <w:rPr>
          <w:rFonts w:ascii="仿宋_GB2312" w:hAnsi="仿宋_GB2312" w:cs="仿宋_GB2312" w:eastAsia="仿宋_GB2312"/>
        </w:rPr>
        <w:t>4、参加政府采购活动前3年内在经营活动中没有重大违法记录的书面声明：重大违法记录是指供应商因违法经营受到刑事处罚或者责令停产停业、吊销许可证或者执照、较大数额罚款等行政处罚。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6、法人身份证明或授权书：法定代表人参加的，须提供法定代表人身份证明及本人身份证复印件；法定代表人授权他人参加的，须提供法定代表人委托授权书、被授权代表的身份证复印件。</w:t>
      </w:r>
    </w:p>
    <w:p>
      <w:pPr>
        <w:pStyle w:val="null3"/>
      </w:pPr>
      <w:r>
        <w:rPr>
          <w:rFonts w:ascii="仿宋_GB2312" w:hAnsi="仿宋_GB2312" w:cs="仿宋_GB2312" w:eastAsia="仿宋_GB2312"/>
        </w:rPr>
        <w:t>7、信用状况：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pPr>
      <w:r>
        <w:rPr>
          <w:rFonts w:ascii="仿宋_GB2312" w:hAnsi="仿宋_GB2312" w:cs="仿宋_GB2312" w:eastAsia="仿宋_GB2312"/>
        </w:rPr>
        <w:t>8、本项目不接受联合体投标：本项目不接受联合体投标（供应商须提供书面承诺，加盖供应商公章）。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02986786950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陕西立信工程项目管理有限公司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陕西省西安市雁塔区陕西省西安市雁塔区太白南路39号金石柏朗大厦12层1201、1202、1205室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骆丹英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029-87519950-809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和国家发展改革委员会办公厅颁发的《关于招标代理服务收费有关问题的通知》（发改办价格[2003]857号）的有关规定收取。 2、成交单位在领取成交通知书之前，须向代理机构支付招标代理服务费。 3、招标代理服务费以转账或现金形式缴纳至以下账户： 户名：陕西立信工程项目管理有限公司 账号：129903881810301 开户行：招商银行西安朝阳门支行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西安市自然资源和规划局（本级）</w:t>
      </w:r>
      <w:r>
        <w:rPr>
          <w:rFonts w:ascii="仿宋_GB2312" w:hAnsi="仿宋_GB2312" w:cs="仿宋_GB2312" w:eastAsia="仿宋_GB2312"/>
        </w:rPr>
        <w:t>和</w:t>
      </w:r>
      <w:r>
        <w:rPr>
          <w:rFonts w:ascii="仿宋_GB2312" w:hAnsi="仿宋_GB2312" w:cs="仿宋_GB2312" w:eastAsia="仿宋_GB2312"/>
        </w:rPr>
        <w:t>陕西立信工程项目管理有限公司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陕西立信工程项目管理有限公司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陕西立信工程项目管理有限公司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(一)规划需符合相关法律法规、行业相关技术标准。 (二)规划需结合西安市实际情况，并对全市地质灾害防治工作具有实际指导意义. (三)通过相关主管部门组织的专家评审会审查。</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联系人：骆丹英</w:t>
      </w:r>
    </w:p>
    <w:p>
      <w:pPr>
        <w:pStyle w:val="null3"/>
      </w:pPr>
      <w:r>
        <w:rPr>
          <w:rFonts w:ascii="仿宋_GB2312" w:hAnsi="仿宋_GB2312" w:cs="仿宋_GB2312" w:eastAsia="仿宋_GB2312"/>
        </w:rPr>
        <w:t>联系电话：029-87519950-809</w:t>
      </w:r>
    </w:p>
    <w:p>
      <w:pPr>
        <w:pStyle w:val="null3"/>
      </w:pPr>
      <w:r>
        <w:rPr>
          <w:rFonts w:ascii="仿宋_GB2312" w:hAnsi="仿宋_GB2312" w:cs="仿宋_GB2312" w:eastAsia="仿宋_GB2312"/>
        </w:rPr>
        <w:t>地址：陕西省西安市雁塔区陕西省西安市雁塔区太白南路39号金石柏朗大厦12层1201、1202、1205室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贯彻落实地质灾害以人为本、预防为主、统筹规划的防治原则,有效防治地质灾害，保护人民生命财产安全。按照《地质灾害防治条例》《陕西省地质灾害防治条例》要求，县级以上地方人民政府自然资源主管部门会同同级建设、水利、交通等部门，编制本行政区域的地质灾害防治规划，经专家论证后报本级人民政府批准公布，并报上一级人民政府自然资源主管部门备案。2025年5月28日，市委、市政府印发了《西安市国民经济和社会发展第十五个五年规划编制工作实施方案》，明确了《西安市地质灾害“十五五”规划》作为一般专项规划由市资源规划局牵头编制，具体详见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西安市地质灾害防治“十五五”规划专题研究和编制项目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标的名称：西安市地质灾害防治“十五五”规划专题研究和编制项目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shd w:fill="FFFFFF" w:val="clear"/>
              </w:rPr>
              <w:t>一、</w:t>
            </w:r>
            <w:r>
              <w:rPr>
                <w:rFonts w:ascii="仿宋_GB2312" w:hAnsi="仿宋_GB2312" w:cs="仿宋_GB2312" w:eastAsia="仿宋_GB2312"/>
                <w:sz w:val="24"/>
                <w:b/>
                <w:shd w:fill="FFFFFF" w:val="clear"/>
              </w:rPr>
              <w:t>项目概况。</w:t>
            </w:r>
          </w:p>
          <w:p>
            <w:pPr>
              <w:pStyle w:val="null3"/>
              <w:ind w:firstLine="480"/>
            </w:pPr>
            <w:r>
              <w:rPr>
                <w:rFonts w:ascii="仿宋_GB2312" w:hAnsi="仿宋_GB2312" w:cs="仿宋_GB2312" w:eastAsia="仿宋_GB2312"/>
                <w:sz w:val="24"/>
                <w:shd w:fill="FFFFFF" w:val="clear"/>
              </w:rPr>
              <w:t>为贯彻落实地质灾害以人为本、预防为主、统筹规划的防治原则,有效防治地质灾害，保护人民生命财产安全。按照《地质灾害防治条例》《陕西省地质灾害防治条例》要求，县级以上地方人民政府自然资源主管部门会同同级建设、水利、交通等部门，编制本行政区域的地质灾害防治规划，经专家论证后报本级人民政府批准公布，并报上一级人民政府自然资源主管部门备案。2025年5月28日，市委、市政府印发了《西安市国民经济和社会发展第十五个五年规划编制工作实施方案》，明确了《西安市地质灾害“十五五”规划》作为一般专项规划由市资源规划局牵头编制。</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b/>
                <w:shd w:fill="FFFFFF" w:val="clear"/>
              </w:rPr>
              <w:t>二、</w:t>
            </w:r>
            <w:r>
              <w:rPr>
                <w:rFonts w:ascii="仿宋_GB2312" w:hAnsi="仿宋_GB2312" w:cs="仿宋_GB2312" w:eastAsia="仿宋_GB2312"/>
                <w:sz w:val="24"/>
                <w:b/>
                <w:shd w:fill="FFFFFF" w:val="clear"/>
              </w:rPr>
              <w:t>服务内容。</w:t>
            </w:r>
          </w:p>
          <w:p>
            <w:pPr>
              <w:pStyle w:val="null3"/>
              <w:ind w:firstLine="240"/>
              <w:jc w:val="both"/>
            </w:pPr>
            <w:r>
              <w:rPr>
                <w:rFonts w:ascii="仿宋_GB2312" w:hAnsi="仿宋_GB2312" w:cs="仿宋_GB2312" w:eastAsia="仿宋_GB2312"/>
                <w:sz w:val="24"/>
                <w:shd w:fill="FFFFFF" w:val="clear"/>
              </w:rPr>
              <w:t>工作区域:西安市。</w:t>
            </w:r>
          </w:p>
          <w:p>
            <w:pPr>
              <w:pStyle w:val="null3"/>
              <w:ind w:firstLine="240"/>
              <w:jc w:val="both"/>
            </w:pPr>
            <w:r>
              <w:rPr>
                <w:rFonts w:ascii="仿宋_GB2312" w:hAnsi="仿宋_GB2312" w:cs="仿宋_GB2312" w:eastAsia="仿宋_GB2312"/>
                <w:sz w:val="24"/>
                <w:shd w:fill="FFFFFF" w:val="clear"/>
              </w:rPr>
              <w:t>工作内容:通过开展西安市地质灾害"十四五"防治规划工作成效总结、地质灾害防治专题研究等工作，编制完成西安市地质灾害防治“十五五”规划。主要工作内容包括:</w:t>
            </w:r>
          </w:p>
          <w:p>
            <w:pPr>
              <w:pStyle w:val="null3"/>
              <w:ind w:firstLine="240"/>
              <w:jc w:val="both"/>
            </w:pPr>
            <w:r>
              <w:rPr>
                <w:rFonts w:ascii="仿宋_GB2312" w:hAnsi="仿宋_GB2312" w:cs="仿宋_GB2312" w:eastAsia="仿宋_GB2312"/>
                <w:sz w:val="24"/>
                <w:shd w:fill="FFFFFF" w:val="clear"/>
              </w:rPr>
              <w:t>1.全面总结西安市"十四五"防治规划工作，结合存在的问题及目前西安市地质灾害发育现状，分析"十五五"期间地质灾害防治面临的形势;</w:t>
            </w:r>
          </w:p>
          <w:p>
            <w:pPr>
              <w:pStyle w:val="null3"/>
              <w:ind w:firstLine="240"/>
              <w:jc w:val="both"/>
            </w:pPr>
            <w:r>
              <w:rPr>
                <w:rFonts w:ascii="仿宋_GB2312" w:hAnsi="仿宋_GB2312" w:cs="仿宋_GB2312" w:eastAsia="仿宋_GB2312"/>
                <w:sz w:val="24"/>
                <w:shd w:fill="FFFFFF" w:val="clear"/>
              </w:rPr>
              <w:t>2.开展专题研究;</w:t>
            </w:r>
          </w:p>
          <w:p>
            <w:pPr>
              <w:pStyle w:val="null3"/>
              <w:ind w:firstLine="240"/>
              <w:jc w:val="both"/>
            </w:pPr>
            <w:r>
              <w:rPr>
                <w:rFonts w:ascii="仿宋_GB2312" w:hAnsi="仿宋_GB2312" w:cs="仿宋_GB2312" w:eastAsia="仿宋_GB2312"/>
                <w:sz w:val="24"/>
                <w:shd w:fill="FFFFFF" w:val="clear"/>
              </w:rPr>
              <w:t>3.对地质灾害易发区和重点防治区进行分区、选区;</w:t>
            </w:r>
          </w:p>
          <w:p>
            <w:pPr>
              <w:pStyle w:val="null3"/>
              <w:ind w:firstLine="240"/>
              <w:jc w:val="both"/>
            </w:pPr>
            <w:r>
              <w:rPr>
                <w:rFonts w:ascii="仿宋_GB2312" w:hAnsi="仿宋_GB2312" w:cs="仿宋_GB2312" w:eastAsia="仿宋_GB2312"/>
                <w:sz w:val="24"/>
                <w:shd w:fill="FFFFFF" w:val="clear"/>
              </w:rPr>
              <w:t>4.从调查评价、监测预警、综合防治、防灾能力建设等方面制定地质灾害防治任务，明确年度计划目标，针对目标规划可操作性举措;</w:t>
            </w:r>
          </w:p>
          <w:p>
            <w:pPr>
              <w:pStyle w:val="null3"/>
              <w:ind w:firstLine="240"/>
              <w:jc w:val="both"/>
            </w:pPr>
            <w:r>
              <w:rPr>
                <w:rFonts w:ascii="仿宋_GB2312" w:hAnsi="仿宋_GB2312" w:cs="仿宋_GB2312" w:eastAsia="仿宋_GB2312"/>
                <w:sz w:val="24"/>
                <w:shd w:fill="FFFFFF" w:val="clear"/>
              </w:rPr>
              <w:t>5.完成规划文本编制和相应附图、附表。</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spacing w:after="120"/>
              <w:jc w:val="both"/>
            </w:pPr>
            <w:r>
              <w:rPr>
                <w:rFonts w:ascii="仿宋_GB2312" w:hAnsi="仿宋_GB2312" w:cs="仿宋_GB2312" w:eastAsia="仿宋_GB2312"/>
                <w:sz w:val="24"/>
                <w:b/>
                <w:shd w:fill="FFFFFF" w:val="clear"/>
              </w:rPr>
              <w:t>三、技术要求</w:t>
            </w:r>
          </w:p>
          <w:p>
            <w:pPr>
              <w:pStyle w:val="null3"/>
              <w:spacing w:after="120"/>
              <w:ind w:firstLine="480"/>
              <w:jc w:val="both"/>
            </w:pPr>
            <w:r>
              <w:rPr>
                <w:rFonts w:ascii="仿宋_GB2312" w:hAnsi="仿宋_GB2312" w:cs="仿宋_GB2312" w:eastAsia="仿宋_GB2312"/>
                <w:sz w:val="24"/>
                <w:shd w:fill="FFFFFF" w:val="clear"/>
              </w:rPr>
              <w:t>(一)规划需符合相关法律法规、行业相关技术标准。</w:t>
            </w:r>
          </w:p>
          <w:p>
            <w:pPr>
              <w:pStyle w:val="null3"/>
              <w:spacing w:after="120"/>
              <w:ind w:firstLine="480"/>
              <w:jc w:val="both"/>
            </w:pPr>
            <w:r>
              <w:rPr>
                <w:rFonts w:ascii="仿宋_GB2312" w:hAnsi="仿宋_GB2312" w:cs="仿宋_GB2312" w:eastAsia="仿宋_GB2312"/>
                <w:sz w:val="24"/>
                <w:shd w:fill="FFFFFF" w:val="clear"/>
              </w:rPr>
              <w:t>(二)规划需结合西安市实际情况，并对全市地质灾害防治工作具有实际指导意义.</w:t>
            </w:r>
          </w:p>
          <w:p>
            <w:pPr>
              <w:pStyle w:val="null3"/>
              <w:spacing w:after="120"/>
              <w:ind w:firstLine="480"/>
              <w:jc w:val="both"/>
            </w:pPr>
            <w:r>
              <w:rPr>
                <w:rFonts w:ascii="仿宋_GB2312" w:hAnsi="仿宋_GB2312" w:cs="仿宋_GB2312" w:eastAsia="仿宋_GB2312"/>
                <w:sz w:val="24"/>
                <w:shd w:fill="FFFFFF" w:val="clear"/>
              </w:rPr>
              <w:t>(三)通过相关主管部门组织的专家评审会审查。</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spacing w:after="120"/>
              <w:jc w:val="both"/>
            </w:pPr>
            <w:r>
              <w:rPr>
                <w:rFonts w:ascii="仿宋_GB2312" w:hAnsi="仿宋_GB2312" w:cs="仿宋_GB2312" w:eastAsia="仿宋_GB2312"/>
                <w:sz w:val="24"/>
                <w:b/>
                <w:shd w:fill="FFFFFF" w:val="clear"/>
              </w:rPr>
              <w:t>四、服务要求。</w:t>
            </w:r>
          </w:p>
          <w:p>
            <w:pPr>
              <w:pStyle w:val="null3"/>
              <w:spacing w:after="120"/>
              <w:ind w:firstLine="480"/>
              <w:jc w:val="both"/>
            </w:pPr>
            <w:r>
              <w:rPr>
                <w:rFonts w:ascii="仿宋_GB2312" w:hAnsi="仿宋_GB2312" w:cs="仿宋_GB2312" w:eastAsia="仿宋_GB2312"/>
                <w:sz w:val="24"/>
                <w:shd w:fill="FFFFFF" w:val="clear"/>
              </w:rPr>
              <w:t>服务商熟悉西安市地质环境条件和地质灾害防治情况,具有地质灾害防治规划编制能力。</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b/>
                <w:shd w:fill="FFFFFF" w:val="clear"/>
              </w:rPr>
              <w:t>五、商务要求。</w:t>
            </w:r>
          </w:p>
          <w:p>
            <w:pPr>
              <w:pStyle w:val="null3"/>
              <w:ind w:firstLine="240"/>
              <w:jc w:val="both"/>
            </w:pPr>
            <w:r>
              <w:rPr>
                <w:rFonts w:ascii="仿宋_GB2312" w:hAnsi="仿宋_GB2312" w:cs="仿宋_GB2312" w:eastAsia="仿宋_GB2312"/>
                <w:sz w:val="24"/>
                <w:shd w:fill="FFFFFF" w:val="clear"/>
              </w:rPr>
              <w:t>(一）服务期限</w:t>
            </w:r>
          </w:p>
          <w:p>
            <w:pPr>
              <w:pStyle w:val="null3"/>
              <w:ind w:firstLine="240"/>
              <w:jc w:val="both"/>
            </w:pPr>
            <w:r>
              <w:rPr>
                <w:rFonts w:ascii="仿宋_GB2312" w:hAnsi="仿宋_GB2312" w:cs="仿宋_GB2312" w:eastAsia="仿宋_GB2312"/>
                <w:sz w:val="24"/>
                <w:shd w:fill="FFFFFF" w:val="clear"/>
              </w:rPr>
              <w:t>自双方签订合同之日起计至2026年12月31日。</w:t>
            </w:r>
          </w:p>
          <w:p>
            <w:pPr>
              <w:pStyle w:val="null3"/>
              <w:ind w:firstLine="240"/>
              <w:jc w:val="both"/>
            </w:pPr>
            <w:r>
              <w:rPr>
                <w:rFonts w:ascii="仿宋_GB2312" w:hAnsi="仿宋_GB2312" w:cs="仿宋_GB2312" w:eastAsia="仿宋_GB2312"/>
                <w:sz w:val="24"/>
                <w:shd w:fill="FFFFFF" w:val="clear"/>
              </w:rPr>
              <w:t>(二）款项结算</w:t>
            </w:r>
          </w:p>
          <w:p>
            <w:pPr>
              <w:pStyle w:val="null3"/>
              <w:ind w:firstLine="240"/>
              <w:jc w:val="both"/>
            </w:pPr>
            <w:r>
              <w:rPr>
                <w:rFonts w:ascii="仿宋_GB2312" w:hAnsi="仿宋_GB2312" w:cs="仿宋_GB2312" w:eastAsia="仿宋_GB2312"/>
                <w:sz w:val="24"/>
                <w:shd w:fill="FFFFFF" w:val="clear"/>
              </w:rPr>
              <w:t>合同签订后，支付首付款，付款比例为项目总金额的40%，规划专题研究提交报告并验收通过后,支付阶段款为项目总金额40%，规划编制完成，经专家审查通过验收并提交成果后支付尾款，为项目总金额的20%。</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4"/>
                <w:b/>
                <w:shd w:fill="FFFFFF" w:val="clear"/>
              </w:rPr>
              <w:t>六、其他。</w:t>
            </w:r>
          </w:p>
          <w:p>
            <w:pPr>
              <w:pStyle w:val="null3"/>
              <w:ind w:firstLine="240"/>
              <w:jc w:val="both"/>
            </w:pPr>
            <w:r>
              <w:rPr>
                <w:rFonts w:ascii="仿宋_GB2312" w:hAnsi="仿宋_GB2312" w:cs="仿宋_GB2312" w:eastAsia="仿宋_GB2312"/>
                <w:sz w:val="24"/>
                <w:shd w:fill="FFFFFF" w:val="clear"/>
              </w:rPr>
              <w:t>(一）进度要求</w:t>
            </w:r>
          </w:p>
          <w:p>
            <w:pPr>
              <w:pStyle w:val="null3"/>
              <w:ind w:firstLine="240"/>
              <w:jc w:val="both"/>
            </w:pPr>
            <w:r>
              <w:rPr>
                <w:rFonts w:ascii="仿宋_GB2312" w:hAnsi="仿宋_GB2312" w:cs="仿宋_GB2312" w:eastAsia="仿宋_GB2312"/>
                <w:sz w:val="24"/>
                <w:shd w:fill="FFFFFF" w:val="clear"/>
              </w:rPr>
              <w:t>2025年</w:t>
            </w:r>
            <w:r>
              <w:rPr>
                <w:rFonts w:ascii="仿宋_GB2312" w:hAnsi="仿宋_GB2312" w:cs="仿宋_GB2312" w:eastAsia="仿宋_GB2312"/>
                <w:sz w:val="24"/>
                <w:color w:val="FF0000"/>
                <w:shd w:fill="FFFFFF" w:val="clear"/>
              </w:rPr>
              <w:t>8</w:t>
            </w:r>
            <w:r>
              <w:rPr>
                <w:rFonts w:ascii="仿宋_GB2312" w:hAnsi="仿宋_GB2312" w:cs="仿宋_GB2312" w:eastAsia="仿宋_GB2312"/>
                <w:sz w:val="24"/>
                <w:shd w:fill="FFFFFF" w:val="clear"/>
              </w:rPr>
              <w:t>月进行采购，签订合同。</w:t>
            </w:r>
          </w:p>
          <w:p>
            <w:pPr>
              <w:pStyle w:val="null3"/>
              <w:jc w:val="both"/>
            </w:pPr>
            <w:r>
              <w:rPr>
                <w:rFonts w:ascii="仿宋_GB2312" w:hAnsi="仿宋_GB2312" w:cs="仿宋_GB2312" w:eastAsia="仿宋_GB2312"/>
                <w:sz w:val="24"/>
                <w:shd w:fill="FFFFFF" w:val="clear"/>
              </w:rPr>
              <w:t>2025年11月底前完成“十四五规划”完成情况评估、“十五五规划”收集资料及分析和专题研究。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满足采购项目最低要求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满足采购项目最低要求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满足采购项目最低要求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2）自双方签订合同之日起计至2026年12月31日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由采购人和专家共同对项目进行审查通过验收并提交成果。其内容包括是否按照采购人要求进行服务、是否在规定时间内服务完毕。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规划专题研究提交报告并验收通过后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规划编制完成，经专家审查通过验收并提交成果后支付尾款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1.甲、乙双方违约责任、纠纷解决等按《中华人民共和国政府采购法》、《中华人民共和国民法典》中的相关条款执行。 2.甲、乙双方不得擅自变更、中止或终止合同，违者将依法追究法律责任。 3.乙方未按合同或招标文件要求提供产品或供应的产品质量不能满足甲方技术要求，甲方有权终止合同，甚至对乙方违约行为进行追究。 4.乙方的投标响应文件为签订正式书面合同书不可分割的部分，乙方应履行相应的责任。 5、乙方不得将本项目转包给第三方，或将本项目分解后以分包的名义转包给第三人。若乙方将本项目转包或者分包给第三方，甲方有权终止合同。 （二）纠纷解决 本合同在履行过程中发生的争议，由甲、乙双方当事人协商解决，协商不成的依法向甲方所在地有管辖权的人民法院起诉。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中小企业划分标准所属行业为其他未列明行业。其他未列明行业的划型标准为：从业人员300人以下的为中小微型企业。其中，从业人员100人及以上的为中型企业；从业人员10人及以上的为小型企业；从业人员10人以下的为微型企业。 2.本项目专门面向中小企业采购（残疾人福利性单位、监狱企业视同小型、微型企业）。 3.为顺利推进政府采购电子化交易平台试点应用工作，供应商需要在线提交所有通过电子化交易平台实施的政府采购项目的投标文件。 4.需要落实的政府采购政策：（1）《国务院办公厅关于建立政府强制采购节能产品制度的通知》（国办发〔2007〕51号）；（2）《财政部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度或2024年度经审计的财务审计报告（事业法人可提供部门决算报告）；或提供供应商基本账户出具的资信证明；或提供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重大违法记录是指供应商因违法经营受到刑事处罚或者责令停产停业、吊销许可证或者执照、较大数额罚款等行政处罚。供应商需在项目电子化交易系统中按要求上传相应证明文件并进行电子签章。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法人身份证明或授权书</w:t>
            </w:r>
          </w:p>
        </w:tc>
        <w:tc>
          <w:tcPr>
            <w:tcW w:type="dxa" w:w="3322"/>
          </w:tcPr>
          <w:p>
            <w:pPr>
              <w:pStyle w:val="null3"/>
            </w:pPr>
            <w:r>
              <w:rPr>
                <w:rFonts w:ascii="仿宋_GB2312" w:hAnsi="仿宋_GB2312" w:cs="仿宋_GB2312" w:eastAsia="仿宋_GB2312"/>
              </w:rPr>
              <w:t>法定代表人参加的，须提供法定代表人身份证明及本人身份证复印件；法定代表人授权他人参加的，须提供法定代表人委托授权书、被授权代表的身份证复印件。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本项目不接受联合体投标（供应商须提供书面承诺，加盖供应商公章）。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响应文件上法定代表人或被授权人的签字齐全并加盖公章</w:t>
            </w:r>
          </w:p>
        </w:tc>
        <w:tc>
          <w:tcPr>
            <w:tcW w:type="dxa" w:w="1661"/>
          </w:tcPr>
          <w:p>
            <w:pPr>
              <w:pStyle w:val="null3"/>
            </w:pPr>
            <w:r>
              <w:rPr>
                <w:rFonts w:ascii="仿宋_GB2312" w:hAnsi="仿宋_GB2312" w:cs="仿宋_GB2312" w:eastAsia="仿宋_GB2312"/>
              </w:rPr>
              <w:t>业绩.docx 服务内容及服务邀请应答表 中小企业声明函 商务应答表 供应商应提交的相关资格证明材料 报价表 供应商认为需要提供的其他内容.docx 响应文件封面 残疾人福利性单位声明函 服务方案 标的清单 项目实施人员情况表.docx 响应函 磋商报价一览表.docx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 磋商报价一览表.docx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商务应答表 标的清单 报价表 响应函 磋商报价一览表.docx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服务内容及服务邀请应答表 商务应答表 标的清单 报价表 响应函 磋商报价一览表.docx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报价唯一且未超过采购预算</w:t>
            </w:r>
          </w:p>
        </w:tc>
        <w:tc>
          <w:tcPr>
            <w:tcW w:type="dxa" w:w="1661"/>
          </w:tcPr>
          <w:p>
            <w:pPr>
              <w:pStyle w:val="null3"/>
            </w:pPr>
            <w:r>
              <w:rPr>
                <w:rFonts w:ascii="仿宋_GB2312" w:hAnsi="仿宋_GB2312" w:cs="仿宋_GB2312" w:eastAsia="仿宋_GB2312"/>
              </w:rPr>
              <w:t>标的清单 报价表 磋商报价一览表.docx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响应文件无效响应情形</w:t>
            </w:r>
          </w:p>
        </w:tc>
        <w:tc>
          <w:tcPr>
            <w:tcW w:type="dxa" w:w="1661"/>
          </w:tcPr>
          <w:p>
            <w:pPr>
              <w:pStyle w:val="null3"/>
            </w:pPr>
            <w:r>
              <w:rPr>
                <w:rFonts w:ascii="仿宋_GB2312" w:hAnsi="仿宋_GB2312" w:cs="仿宋_GB2312" w:eastAsia="仿宋_GB2312"/>
              </w:rPr>
              <w:t>业绩.docx 服务内容及服务邀请应答表 中小企业声明函 商务应答表 供应商应提交的相关资格证明材料 报价表 供应商认为需要提供的其他内容.docx 响应文件封面 残疾人福利性单位声明函 服务方案 标的清单 项目实施人员情况表.docx 响应函 磋商报价一览表.docx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供应商充分理解本项目整体要求、项目现状、项目需求。 对项目需求理解与分析把握准确，内容详细，得7-10分；准确性一般,内容一般，得3-7分；准确性把握欠缺，内容较差，得0-3分。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规划编制方案</w:t>
            </w:r>
          </w:p>
        </w:tc>
        <w:tc>
          <w:tcPr>
            <w:tcW w:type="dxa" w:w="2492"/>
          </w:tcPr>
          <w:p>
            <w:pPr>
              <w:pStyle w:val="null3"/>
            </w:pPr>
            <w:r>
              <w:rPr>
                <w:rFonts w:ascii="仿宋_GB2312" w:hAnsi="仿宋_GB2312" w:cs="仿宋_GB2312" w:eastAsia="仿宋_GB2312"/>
              </w:rPr>
              <w:t>（1）从调查评价、监测预警、综合防治、防灾能力建设等方面分析和制定地质灾害防治任务，计划目标明确，完全契合国家灾害防治政策，编制与创新性思路清晰得7-10分；部分契合，契合程度较高得3-7分；创新性思路一般部分契合、契合程度较低得0-3分；完全不契合国家灾害防治政策不得分。 （2）对项目任务实施过程中可能遇到的难点、重点分析全面、到位，应对措施合理、可行，得6-10分；分析较全面，应对措施较合理，得2-6分；分析不全面或应对措施不合理，得0-2分。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成果交付计划</w:t>
            </w:r>
          </w:p>
        </w:tc>
        <w:tc>
          <w:tcPr>
            <w:tcW w:type="dxa" w:w="2492"/>
          </w:tcPr>
          <w:p>
            <w:pPr>
              <w:pStyle w:val="null3"/>
            </w:pPr>
            <w:r>
              <w:rPr>
                <w:rFonts w:ascii="仿宋_GB2312" w:hAnsi="仿宋_GB2312" w:cs="仿宋_GB2312" w:eastAsia="仿宋_GB2312"/>
              </w:rPr>
              <w:t>（1）供应商制定了详细的项目进度计划，明确各阶段的时间节点和工作任务，得3-5分；进度计划较详细，得1-3分；进度计划不详细，得0-1分。（2）针对可能影响项目进度的因素制定了有效的应对措施，措施合理、可行，得3-5分；应对措施较合理，得1-3分；应对措施不合理，得0-1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1）供应商制定了完善的项目质量管理制度，明确质量目标、质量责任和质量控制流程，得3-5分；质量管理制度较完善，得1-3分；质量管理制度不完善的不得分。（2）针对项目各环节制定了详细的质量保障措施，措施具体、可操作，得3-5分；质量保障措施较具体，得1-3分；质量保障措施不具体或缺乏可操作性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项目负责人与项目团队人员</w:t>
            </w:r>
          </w:p>
        </w:tc>
        <w:tc>
          <w:tcPr>
            <w:tcW w:type="dxa" w:w="2492"/>
          </w:tcPr>
          <w:p>
            <w:pPr>
              <w:pStyle w:val="null3"/>
            </w:pPr>
            <w:r>
              <w:rPr>
                <w:rFonts w:ascii="仿宋_GB2312" w:hAnsi="仿宋_GB2312" w:cs="仿宋_GB2312" w:eastAsia="仿宋_GB2312"/>
              </w:rPr>
              <w:t>针对本项目需求组建项目团队：（1）项目负责人需具备水文地质、工程与环境地质类的高级职称，得3分；中级职称得1分，其它不得分，此项最高得3分。提供相关职称证书复印件。（需提供项目负责人身份证、社保证明及其他相关证书或证明材料） （2）其他技术人员（除项目负责人外）根据团队人员的专业匹配性、数量的充足性、职责明确性进行人员配备，团队人员中每提供一个高级人员职称证书得:3分，中级人员职称证书得1分，其它不得分。此项最高得9分。（注：项目团队人员需提供身份证、学历证明、开标时间前3个月内任意时段的社会保障资金缴纳证明或有效的劳动合同及其他相关证明材料，人员不重复计算。）</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项目实施人员情况表.docx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供应商对本项目提供完整的服务承诺及具体措施，包括但不限于服务质量、服务期限，以确保本项目顺利实施，按其响应程度计0-6分。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合理化建议及应对措施</w:t>
            </w:r>
          </w:p>
        </w:tc>
        <w:tc>
          <w:tcPr>
            <w:tcW w:type="dxa" w:w="2492"/>
          </w:tcPr>
          <w:p>
            <w:pPr>
              <w:pStyle w:val="null3"/>
            </w:pPr>
            <w:r>
              <w:rPr>
                <w:rFonts w:ascii="仿宋_GB2312" w:hAnsi="仿宋_GB2312" w:cs="仿宋_GB2312" w:eastAsia="仿宋_GB2312"/>
              </w:rPr>
              <w:t>针对本项目提出合理化建议，对项目的关键工作提出解决方案，有明确的应急预案，根据响应情况计0-3分。 对于项目实施过程中出现突发状况，有具体可行的应对措施，能保证项目质量并按时提交项目成果，根据响应情况计0-2分。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提供2020年1月至开标前类似规划编制项目业绩（以合同签定时间为准），每提供1个项目合同得2分，最高得6分，不提供不得分。（合同需提供关键页，包含：项目名称、合同金额、服务内容、签订时间、双方盖章页等复印页作为证明材料）</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保密</w:t>
            </w:r>
          </w:p>
        </w:tc>
        <w:tc>
          <w:tcPr>
            <w:tcW w:type="dxa" w:w="2492"/>
          </w:tcPr>
          <w:p>
            <w:pPr>
              <w:pStyle w:val="null3"/>
            </w:pPr>
            <w:r>
              <w:rPr>
                <w:rFonts w:ascii="仿宋_GB2312" w:hAnsi="仿宋_GB2312" w:cs="仿宋_GB2312" w:eastAsia="仿宋_GB2312"/>
              </w:rPr>
              <w:t>供应商根据自身的实力编制项目保密措施，保密制度完善，措施具体，责任清晰，可行性强得3-6分，可行性较差得0-3分，保密措施不提供不得分。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各有效供应商的评审价中，取最低价作为基准价，其价格分为满分。各有效供应商的价格评分统一按照下列公式计算：价格评分＝（基准价÷评审价）×价格分分值</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对符合《政府采购促进中小企业发展管理办法》（财库〔2020〕46号）规定的小微企业报价给予10%的扣除，用扣除后的价格参加评审。</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详见附件：磋商报价一览表.docx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详见附件：项目实施人员情况表.docx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详见附件：供应商认为需要提供的其他内容.docx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