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版本号：0701-2541SX06000620250813001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西安市中小学教师及校园长学校教育数字化转型领导力提升培训项目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0701-2541SX060006</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西安市中小学教师及校园长学校教育数字化转型领导力提升培训项目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西安市中小学教师及校园长学校教育数字化转型领导力提升培训项目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于中小学校级管理者和信息技术学科教师而言，提升数智素养是顺应教育数智化转型浪潮的迫切需要，是推动区域教育高质量发展的核心动力，也是为学生提供优质数智化教育资源、培养适应未来社会发展创新人才的关键所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采购包1（西安市中小学教师及校园长学校教育数字化转型领导力提升培训项目）：属于专门面向中小企业采购。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 ：供应商具有独立承担民事责任能力的法人或其他组织或自然人，并提供法人或者其他组织合法有效的营业执照等证明文件，事业单位应提供事业单位法人证书，自然人应提供身份证明文件。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4、税收缴纳证明：提供2024年8月至今任意一个月已缴纳完税凭证或税务机关开具的完税证明（任意税种）；依法免税的应提供相关文件证明。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5、社保缴纳证明：提供2024年8月至今任意一个月已缴纳的社会保障资金缴存单据或社保机构开具的社会保险参保缴费情况证明；依法不需要缴纳社会保障资金的应提供相关文件证明。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1.按照采购人要求，依据现场实际需要，确保西安市中小学教师及校园长学校教育数字化转型领导力提升培训项目项目圆满结束。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2024年9月，总书记在全国教育大会上强调，注重运用人工智能助力教育变革。《教育强国建设规划纲要（2024—2035年）》指出，探索数字赋能大规模因材施教、创新性教学的有效途径，主动适应学习方式变革；建立基于大数据和人工智能支持的教育评价和科学决策制度，促进人工智能助力教育变革。对于中小学校级管理者和信息技术学科教师而言，提升数智素养是顺应教育数智化转型浪潮的迫切需要，是推动区域教育高质量发展的核心动力，也是为学生提供优质数智化教育资源、培养适应未来社会发展创新人才的关键所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西安市中小学教师及校园长学校教育数字化转型领导力提升培训项目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标的名称：西安市中小学教师及校园长学校教育数字化转型领导力提升培训项目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项目需求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培训对象：中小学学校管理团队、信息技术骨干教师等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培训人数：</w:t>
            </w:r>
            <w:r>
              <w:rPr>
                <w:rFonts w:ascii="仿宋_GB2312" w:hAnsi="仿宋_GB2312" w:cs="仿宋_GB2312" w:eastAsia="仿宋_GB2312"/>
                <w:sz w:val="21"/>
              </w:rPr>
              <w:t>400</w:t>
            </w:r>
            <w:r>
              <w:rPr>
                <w:rFonts w:ascii="仿宋_GB2312" w:hAnsi="仿宋_GB2312" w:cs="仿宋_GB2312" w:eastAsia="仿宋_GB2312"/>
                <w:sz w:val="21"/>
              </w:rPr>
              <w:t>人，培训时长：</w:t>
            </w:r>
            <w:r>
              <w:rPr>
                <w:rFonts w:ascii="仿宋_GB2312" w:hAnsi="仿宋_GB2312" w:cs="仿宋_GB2312" w:eastAsia="仿宋_GB2312"/>
                <w:sz w:val="21"/>
              </w:rPr>
              <w:t>3</w:t>
            </w:r>
            <w:r>
              <w:rPr>
                <w:rFonts w:ascii="仿宋_GB2312" w:hAnsi="仿宋_GB2312" w:cs="仿宋_GB2312" w:eastAsia="仿宋_GB2312"/>
                <w:sz w:val="21"/>
              </w:rPr>
              <w:t>天。分批开展。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培训时间：</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日之前</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培训形式：集中培训</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培训内容：立足学校管理者在教育数字化转型及教师数字素养培育工作中的重难点问题，通过集中培训、考察交流、专家指导等方式，帮助学校管理团队理解教师数智素养的内涵，从而能够诊断现状和预测未来；科学制定学校数智应用指南，全面提升本校教师的数智融合应用能力。</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聚焦培训主题</w:t>
            </w:r>
          </w:p>
          <w:p>
            <w:pPr>
              <w:pStyle w:val="null3"/>
              <w:ind w:firstLine="420"/>
              <w:jc w:val="both"/>
            </w:pPr>
            <w:r>
              <w:rPr>
                <w:rFonts w:ascii="仿宋_GB2312" w:hAnsi="仿宋_GB2312" w:cs="仿宋_GB2312" w:eastAsia="仿宋_GB2312"/>
                <w:sz w:val="21"/>
              </w:rPr>
              <w:t>认真研读教育部、省教育厅等文件要求，遵循教师和校园长成长规律，以解决问题、提升能力为项目设计的出发点和落脚点，突出问题导向和成果导向，聚焦不同发展阶段教师和校园长应具备的核心素养与关键能力，分层分类构建培训课程体系，应用为本，确保教师有成长感和获得感。</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完善教师培训内容</w:t>
            </w:r>
          </w:p>
          <w:p>
            <w:pPr>
              <w:pStyle w:val="null3"/>
              <w:ind w:firstLine="420"/>
              <w:jc w:val="both"/>
            </w:pPr>
            <w:r>
              <w:rPr>
                <w:rFonts w:ascii="仿宋_GB2312" w:hAnsi="仿宋_GB2312" w:cs="仿宋_GB2312" w:eastAsia="仿宋_GB2312"/>
                <w:sz w:val="21"/>
              </w:rPr>
              <w:t>立足西安市教师队伍建设实际，有针对性地设置培训课程，少理论、重实践，注重新课标新教材和课堂教学技能、加大一线授课专家比例。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创新教师培训模式</w:t>
            </w:r>
          </w:p>
          <w:p>
            <w:pPr>
              <w:pStyle w:val="null3"/>
              <w:ind w:firstLine="420"/>
              <w:jc w:val="both"/>
            </w:pPr>
            <w:r>
              <w:rPr>
                <w:rFonts w:ascii="仿宋_GB2312" w:hAnsi="仿宋_GB2312" w:cs="仿宋_GB2312" w:eastAsia="仿宋_GB2312"/>
                <w:sz w:val="21"/>
              </w:rPr>
              <w:t>要将互联网、大数据、虚拟现实、人工智能等新技术融合运用到培训中，实施线上培训和线下培训相结合，训前、训中和训后相统一的混合动态延伸培训新模式。</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实施培训效果评估。</w:t>
            </w:r>
          </w:p>
          <w:p>
            <w:pPr>
              <w:pStyle w:val="null3"/>
            </w:pPr>
            <w:r>
              <w:rPr>
                <w:rFonts w:ascii="仿宋_GB2312" w:hAnsi="仿宋_GB2312" w:cs="仿宋_GB2312" w:eastAsia="仿宋_GB2312"/>
                <w:sz w:val="21"/>
              </w:rPr>
              <w:t>每个项目按照要求，择优提供培训成果案例，通过教学展示、培训反思、成果汇报、培训成果二次分享等多种形式呈现培训效果，并将培训效果相关材料于培训结束一个月内提供给甲方，作为评估培训效果的重要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服务结束后由采购人组织验收。验收依据：磋商文件、磋商响应文件、合同文本、国内相应的标准、规范。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所有培训结束后供应商向采购人提交项目验收资料，经采购人验收合格后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提供2024年8月至今任意一个月已缴纳的社会保障资金缴存单据或社保机构开具的社会保险参保缴费情况证明；依法不需要缴纳社会保障资金的应提供相关文件证明。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一、评审内容：针对于本项目的需求理解包括①培训目标分析；②培训对象特点分析；③核心需求；④政策导向分析；⑤培训对象分层分类精准分析。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15分）：①培训目标分析，每完全满足一项评审标准得1分，满分3分；②培训对象特点分析，每完全满足一项评审标准得1分，满分3分；③核心需求，每完全满足一项评审标准得1分，满分3分；④政策导向分析，每完全满足一项评审标准得1分，满分3分；⑤培训对象分层分类精准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一、评审内容：针对于本项目的服务方案包括①服务总体设想、目标及计划安排；②服务重难点分析及解决措施；③服务方式多样化（线上线下相结合的服务方式）；④专家团队师资力量；⑤研修资源。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训前调研、培训实施、训后总结等）；③资源计划与成本负荷；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训前调研、培训实施、训后总结等），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服务技术规范及相关标准）；②质量阶段控制方案（规划、控制、改进等）；③保证质量技术与技术运用；④保证质量的培训与技能提升；⑤风险管理与应对措施。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培训场地及培训设施安排</w:t>
            </w:r>
          </w:p>
        </w:tc>
        <w:tc>
          <w:tcPr>
            <w:tcW w:type="dxa" w:w="2492"/>
          </w:tcPr>
          <w:p>
            <w:pPr>
              <w:pStyle w:val="null3"/>
            </w:pPr>
            <w:r>
              <w:rPr>
                <w:rFonts w:ascii="仿宋_GB2312" w:hAnsi="仿宋_GB2312" w:cs="仿宋_GB2312" w:eastAsia="仿宋_GB2312"/>
              </w:rPr>
              <w:t>一、评审内容：集中培训场地满足以下要求:地理位置与交通、场地容量与空间布局、设施设备、安全与应急。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三、赋分标准（满分10分）：集中培训场地：地理位置与交通、场地容量与空间布局、设施设备、安全与应急，每完全满足一项评审标准得2分，满分10分。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一、评审内容：针对于本项目的项目团队包括①拟配备本项目团队人员及组织结构方案说明；②人员专业配备情况，满足本项目实际需求。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三、赋分标准（满分10分）：①拟配备本项目团队人员及组织结构方案说明，每完全满足一项评审标准得1分，满分5分；②人员专业配备情况，满足本项目实际需求，每完全满足一项评审标准得1分，满分5分。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详见附件：《西安市中小学教师及校园长学校教育数字化转型领导力提升培训项目》合同.docx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