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49F86">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注：本合同作为合同的基本格式，采购人有权在签订合同时对合同的相关条款及内容作进一步的细化和修改，但不得改变磋商文件及磋商响应文件、成交通知书规定的实质性内容）</w:t>
      </w:r>
    </w:p>
    <w:p w14:paraId="0B03ED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采购人（以下称“甲方”）：</w:t>
      </w:r>
      <w:r>
        <w:rPr>
          <w:rFonts w:hint="eastAsia" w:ascii="仿宋" w:hAnsi="仿宋" w:eastAsia="仿宋" w:cs="仿宋"/>
          <w:color w:val="auto"/>
          <w:kern w:val="1"/>
          <w:sz w:val="24"/>
          <w:szCs w:val="24"/>
          <w:highlight w:val="none"/>
          <w:u w:val="single"/>
        </w:rPr>
        <w:t xml:space="preserve"> 西安市教育局 </w:t>
      </w:r>
      <w:r>
        <w:rPr>
          <w:rFonts w:hint="eastAsia" w:ascii="仿宋" w:hAnsi="仿宋" w:eastAsia="仿宋" w:cs="仿宋"/>
          <w:color w:val="auto"/>
          <w:kern w:val="1"/>
          <w:sz w:val="24"/>
          <w:szCs w:val="24"/>
          <w:highlight w:val="none"/>
        </w:rPr>
        <w:t xml:space="preserve">                                         </w:t>
      </w:r>
    </w:p>
    <w:p w14:paraId="733120E4">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西安市凤城八路109号市政府6号楼 </w:t>
      </w:r>
      <w:r>
        <w:rPr>
          <w:rFonts w:hint="eastAsia" w:ascii="仿宋" w:hAnsi="仿宋" w:eastAsia="仿宋" w:cs="仿宋"/>
          <w:color w:val="auto"/>
          <w:kern w:val="1"/>
          <w:sz w:val="24"/>
          <w:szCs w:val="24"/>
          <w:highlight w:val="none"/>
        </w:rPr>
        <w:t xml:space="preserve">                                                            </w:t>
      </w:r>
    </w:p>
    <w:p w14:paraId="05598C9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402A754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供应商（以下称“乙方”）：</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53253D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3212D0EA">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6C238A73">
      <w:pPr>
        <w:pBdr>
          <w:top w:val="none" w:color="000000" w:sz="0" w:space="3"/>
          <w:left w:val="none" w:color="000000" w:sz="0" w:space="3"/>
          <w:bottom w:val="none" w:color="000000" w:sz="0" w:space="3"/>
          <w:right w:val="none" w:color="000000" w:sz="0" w:space="3"/>
          <w:between w:val="none" w:color="000000" w:sz="0" w:space="0"/>
        </w:pBdr>
        <w:spacing w:line="360" w:lineRule="auto"/>
        <w:ind w:firstLine="468" w:firstLineChars="195"/>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根据《中华人民共和国政府采购法》及实施条例、《中华人民共和国民法典》和甲方采购项目</w:t>
      </w:r>
      <w:r>
        <w:rPr>
          <w:rFonts w:hint="eastAsia" w:ascii="仿宋" w:hAnsi="仿宋" w:eastAsia="仿宋" w:cs="仿宋"/>
          <w:color w:val="auto"/>
          <w:kern w:val="1"/>
          <w:sz w:val="24"/>
          <w:szCs w:val="24"/>
          <w:highlight w:val="none"/>
          <w:u w:val="single"/>
          <w:lang w:eastAsia="zh-CN"/>
        </w:rPr>
        <w:t>西安市中小学教师及校园长学校教育数字化转型领导力提升培训项目</w:t>
      </w:r>
      <w:r>
        <w:rPr>
          <w:rFonts w:hint="eastAsia" w:ascii="仿宋" w:hAnsi="仿宋" w:eastAsia="仿宋" w:cs="仿宋"/>
          <w:color w:val="auto"/>
          <w:kern w:val="1"/>
          <w:sz w:val="24"/>
          <w:szCs w:val="24"/>
          <w:highlight w:val="none"/>
          <w:u w:val="single"/>
        </w:rPr>
        <w:t>（采购项目编号：</w:t>
      </w:r>
      <w:r>
        <w:rPr>
          <w:rFonts w:hint="eastAsia" w:ascii="仿宋" w:hAnsi="仿宋" w:eastAsia="仿宋" w:cs="仿宋"/>
          <w:color w:val="auto"/>
          <w:kern w:val="1"/>
          <w:sz w:val="24"/>
          <w:szCs w:val="24"/>
          <w:highlight w:val="none"/>
          <w:u w:val="single"/>
          <w:lang w:eastAsia="zh-CN"/>
        </w:rPr>
        <w:t>0701-2541SX060</w:t>
      </w:r>
      <w:r>
        <w:rPr>
          <w:rFonts w:hint="eastAsia" w:ascii="仿宋" w:hAnsi="仿宋" w:eastAsia="仿宋" w:cs="仿宋"/>
          <w:color w:val="auto"/>
          <w:kern w:val="1"/>
          <w:sz w:val="24"/>
          <w:szCs w:val="24"/>
          <w:highlight w:val="none"/>
          <w:u w:val="single"/>
          <w:lang w:val="en-US" w:eastAsia="zh-CN"/>
        </w:rPr>
        <w:t>0</w:t>
      </w:r>
      <w:r>
        <w:rPr>
          <w:rFonts w:hint="eastAsia" w:ascii="仿宋" w:hAnsi="仿宋" w:eastAsia="仿宋" w:cs="仿宋"/>
          <w:color w:val="auto"/>
          <w:kern w:val="1"/>
          <w:sz w:val="24"/>
          <w:szCs w:val="24"/>
          <w:highlight w:val="none"/>
          <w:u w:val="single"/>
          <w:lang w:eastAsia="zh-CN"/>
        </w:rPr>
        <w:t>06</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rPr>
        <w:t>的竞争性磋商文件、乙方递交的响应文件等有关规定，为确保甲方采购项目的顺利实施，甲、乙双方在平等自愿原则下签订本合同，并共同遵守如下条款：</w:t>
      </w:r>
    </w:p>
    <w:p w14:paraId="0DE19541">
      <w:pPr>
        <w:widowControl/>
        <w:numPr>
          <w:ilvl w:val="0"/>
          <w:numId w:val="1"/>
        </w:numPr>
        <w:tabs>
          <w:tab w:val="left" w:pos="1379"/>
        </w:tabs>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0" w:name="_Toc8233"/>
      <w:bookmarkStart w:id="1" w:name="_Toc5167"/>
      <w:bookmarkStart w:id="2" w:name="_Toc11456"/>
      <w:r>
        <w:rPr>
          <w:rFonts w:hint="eastAsia" w:ascii="仿宋" w:hAnsi="仿宋" w:eastAsia="仿宋" w:cs="仿宋"/>
          <w:b/>
          <w:snapToGrid w:val="0"/>
          <w:color w:val="auto"/>
          <w:kern w:val="0"/>
          <w:sz w:val="24"/>
          <w:szCs w:val="24"/>
          <w:highlight w:val="none"/>
        </w:rPr>
        <w:t>合同采购内容</w:t>
      </w:r>
      <w:bookmarkEnd w:id="0"/>
      <w:bookmarkEnd w:id="1"/>
      <w:bookmarkEnd w:id="2"/>
    </w:p>
    <w:tbl>
      <w:tblPr>
        <w:tblStyle w:val="3"/>
        <w:tblW w:w="9888" w:type="dxa"/>
        <w:tblInd w:w="-154" w:type="dxa"/>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7947A7E0">
        <w:tblPrEx>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EE3DAC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7636226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D5B2B4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4E2163B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C7BA6A1">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采购</w:t>
            </w:r>
          </w:p>
          <w:p w14:paraId="14E411B5">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03B3C9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F7E06C4">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计量</w:t>
            </w:r>
          </w:p>
          <w:p w14:paraId="57A9F97E">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7D487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90FC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单价</w:t>
            </w:r>
          </w:p>
          <w:p w14:paraId="76A069F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9660E9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总金额（元）</w:t>
            </w:r>
          </w:p>
        </w:tc>
      </w:tr>
      <w:tr w14:paraId="05D417E4">
        <w:tblPrEx>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41A39F4">
            <w:pPr>
              <w:widowControl/>
              <w:wordWrap w:val="0"/>
              <w:spacing w:line="360" w:lineRule="auto"/>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C02060000</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EB06BC8">
            <w:pPr>
              <w:widowControl/>
              <w:wordWrap w:val="0"/>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培训服务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2A857">
            <w:pPr>
              <w:widowControl/>
              <w:wordWrap w:val="0"/>
              <w:jc w:val="center"/>
              <w:textAlignment w:val="center"/>
              <w:rPr>
                <w:rFonts w:hint="eastAsia" w:ascii="仿宋" w:hAnsi="仿宋" w:eastAsia="仿宋" w:cs="仿宋"/>
                <w:snapToGrid w:val="0"/>
                <w:color w:val="auto"/>
                <w:kern w:val="0"/>
                <w:sz w:val="24"/>
                <w:szCs w:val="24"/>
                <w:highlight w:val="none"/>
                <w:lang w:eastAsia="zh-CN"/>
              </w:rPr>
            </w:pPr>
            <w:r>
              <w:rPr>
                <w:rFonts w:hint="eastAsia" w:ascii="仿宋" w:hAnsi="仿宋" w:eastAsia="仿宋" w:cs="仿宋"/>
                <w:snapToGrid w:val="0"/>
                <w:color w:val="auto"/>
                <w:kern w:val="0"/>
                <w:sz w:val="24"/>
                <w:szCs w:val="24"/>
                <w:highlight w:val="none"/>
                <w:lang w:eastAsia="zh-CN"/>
              </w:rPr>
              <w:t>西安市中小学教师及校园长学校教育数字化转型领导力提升培训项目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171E73E">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6EB2CA">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31F9F53">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详见招标文件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7C0D694">
            <w:pPr>
              <w:widowControl/>
              <w:spacing w:line="360" w:lineRule="auto"/>
              <w:jc w:val="right"/>
              <w:textAlignment w:val="center"/>
              <w:rPr>
                <w:rFonts w:hint="eastAsia" w:ascii="仿宋" w:hAnsi="仿宋" w:eastAsia="仿宋" w:cs="仿宋"/>
                <w:snapToGrid w:val="0"/>
                <w:color w:val="auto"/>
                <w:kern w:val="0"/>
                <w:sz w:val="24"/>
                <w:szCs w:val="24"/>
                <w:highlight w:val="none"/>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8904356">
            <w:pPr>
              <w:widowControl/>
              <w:spacing w:line="360" w:lineRule="auto"/>
              <w:jc w:val="right"/>
              <w:textAlignment w:val="center"/>
              <w:rPr>
                <w:rFonts w:hint="eastAsia" w:ascii="仿宋" w:hAnsi="仿宋" w:eastAsia="仿宋" w:cs="仿宋"/>
                <w:snapToGrid w:val="0"/>
                <w:color w:val="auto"/>
                <w:kern w:val="0"/>
                <w:sz w:val="24"/>
                <w:szCs w:val="24"/>
                <w:highlight w:val="none"/>
                <w:shd w:val="clear" w:color="auto" w:fill="FFFFFF"/>
              </w:rPr>
            </w:pPr>
          </w:p>
        </w:tc>
      </w:tr>
    </w:tbl>
    <w:p w14:paraId="73593117">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lang w:bidi="zh-CN"/>
        </w:rPr>
      </w:pPr>
      <w:r>
        <w:rPr>
          <w:rFonts w:hint="eastAsia" w:ascii="仿宋" w:hAnsi="仿宋" w:eastAsia="仿宋" w:cs="仿宋"/>
          <w:snapToGrid w:val="0"/>
          <w:color w:val="auto"/>
          <w:kern w:val="0"/>
          <w:sz w:val="24"/>
          <w:szCs w:val="24"/>
          <w:highlight w:val="none"/>
          <w:lang w:bidi="zh-CN"/>
        </w:rPr>
        <w:t>合计金额人民币（大写）：</w:t>
      </w:r>
      <w:r>
        <w:rPr>
          <w:rFonts w:hint="eastAsia" w:ascii="仿宋" w:hAnsi="仿宋" w:eastAsia="仿宋" w:cs="仿宋"/>
          <w:snapToGrid w:val="0"/>
          <w:color w:val="auto"/>
          <w:kern w:val="0"/>
          <w:sz w:val="24"/>
          <w:szCs w:val="24"/>
          <w:highlight w:val="none"/>
          <w:u w:val="single"/>
          <w:lang w:bidi="zh-CN"/>
        </w:rPr>
        <w:t xml:space="preserve">               </w:t>
      </w:r>
      <w:r>
        <w:rPr>
          <w:rFonts w:hint="eastAsia" w:ascii="仿宋" w:hAnsi="仿宋" w:eastAsia="仿宋" w:cs="仿宋"/>
          <w:snapToGrid w:val="0"/>
          <w:color w:val="auto"/>
          <w:kern w:val="0"/>
          <w:sz w:val="24"/>
          <w:szCs w:val="24"/>
          <w:highlight w:val="none"/>
          <w:lang w:bidi="zh-CN"/>
        </w:rPr>
        <w:t xml:space="preserve"> </w:t>
      </w:r>
    </w:p>
    <w:p w14:paraId="392764D6">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 w:name="_Toc30510"/>
      <w:bookmarkStart w:id="4" w:name="_Toc1852"/>
      <w:bookmarkStart w:id="5" w:name="_Toc22213"/>
      <w:r>
        <w:rPr>
          <w:rFonts w:hint="eastAsia" w:ascii="仿宋" w:hAnsi="仿宋" w:eastAsia="仿宋" w:cs="仿宋"/>
          <w:b/>
          <w:snapToGrid w:val="0"/>
          <w:color w:val="auto"/>
          <w:kern w:val="0"/>
          <w:sz w:val="24"/>
          <w:szCs w:val="24"/>
          <w:highlight w:val="none"/>
        </w:rPr>
        <w:t>第二条 合同价款</w:t>
      </w:r>
      <w:bookmarkEnd w:id="3"/>
      <w:bookmarkEnd w:id="4"/>
      <w:bookmarkEnd w:id="5"/>
    </w:p>
    <w:p w14:paraId="55998C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1.合同总价款为人民币</w:t>
      </w:r>
      <w:r>
        <w:rPr>
          <w:rFonts w:hint="eastAsia" w:ascii="仿宋" w:hAnsi="仿宋" w:eastAsia="仿宋" w:cs="仿宋"/>
          <w:color w:val="auto"/>
          <w:kern w:val="1"/>
          <w:sz w:val="24"/>
          <w:szCs w:val="24"/>
          <w:highlight w:val="none"/>
          <w:u w:val="single"/>
        </w:rPr>
        <w:t>（大写）：               ，</w:t>
      </w:r>
      <w:r>
        <w:rPr>
          <w:rFonts w:hint="eastAsia" w:ascii="仿宋" w:hAnsi="仿宋" w:eastAsia="仿宋" w:cs="仿宋"/>
          <w:color w:val="auto"/>
          <w:kern w:val="1"/>
          <w:sz w:val="24"/>
          <w:szCs w:val="24"/>
          <w:highlight w:val="none"/>
          <w:u w:val="single"/>
          <w:lang w:val="en-US" w:eastAsia="zh-CN"/>
        </w:rPr>
        <w:t>¥</w:t>
      </w:r>
      <w:r>
        <w:rPr>
          <w:rFonts w:hint="eastAsia" w:ascii="仿宋" w:hAnsi="仿宋" w:eastAsia="仿宋" w:cs="仿宋"/>
          <w:color w:val="auto"/>
          <w:kern w:val="1"/>
          <w:sz w:val="24"/>
          <w:szCs w:val="24"/>
          <w:highlight w:val="none"/>
          <w:u w:val="single"/>
        </w:rPr>
        <w:t xml:space="preserve">              </w:t>
      </w:r>
    </w:p>
    <w:p w14:paraId="65062FE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u w:val="single"/>
        </w:rPr>
      </w:pPr>
      <w:r>
        <w:rPr>
          <w:rFonts w:hint="eastAsia" w:ascii="仿宋" w:hAnsi="仿宋" w:eastAsia="仿宋" w:cs="仿宋"/>
          <w:color w:val="auto"/>
          <w:kern w:val="1"/>
          <w:sz w:val="24"/>
          <w:szCs w:val="24"/>
          <w:highlight w:val="none"/>
        </w:rPr>
        <w:t>2.本项目合同总价款由以下组成：</w:t>
      </w:r>
      <w:r>
        <w:rPr>
          <w:rFonts w:hint="eastAsia" w:ascii="仿宋" w:hAnsi="仿宋" w:eastAsia="仿宋" w:cs="仿宋"/>
          <w:color w:val="auto"/>
          <w:kern w:val="1"/>
          <w:sz w:val="24"/>
          <w:szCs w:val="24"/>
          <w:highlight w:val="none"/>
          <w:u w:val="single"/>
        </w:rPr>
        <w:t xml:space="preserve">                    </w:t>
      </w:r>
    </w:p>
    <w:p w14:paraId="72E41F22">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3.甲方无须另向乙方支付本合同规定之外的其他任何费用</w:t>
      </w:r>
    </w:p>
    <w:p w14:paraId="55C2000D">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4.履约保证金：不涉及</w:t>
      </w:r>
    </w:p>
    <w:p w14:paraId="0F641CAA">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6" w:name="_Toc24914"/>
      <w:bookmarkStart w:id="7" w:name="_Toc4425"/>
      <w:bookmarkStart w:id="8" w:name="_Toc7270"/>
      <w:r>
        <w:rPr>
          <w:rFonts w:hint="eastAsia" w:ascii="仿宋" w:hAnsi="仿宋" w:eastAsia="仿宋" w:cs="仿宋"/>
          <w:b/>
          <w:snapToGrid w:val="0"/>
          <w:color w:val="auto"/>
          <w:kern w:val="0"/>
          <w:sz w:val="24"/>
          <w:szCs w:val="24"/>
          <w:highlight w:val="none"/>
        </w:rPr>
        <w:t>第三条  付款方式、时间及条件</w:t>
      </w:r>
      <w:bookmarkEnd w:id="6"/>
      <w:bookmarkEnd w:id="7"/>
      <w:bookmarkEnd w:id="8"/>
    </w:p>
    <w:p w14:paraId="3EE6EB73">
      <w:pPr>
        <w:bidi w:val="0"/>
        <w:rPr>
          <w:rFonts w:hint="eastAsia" w:ascii="仿宋" w:hAnsi="仿宋" w:eastAsia="仿宋" w:cs="仿宋"/>
          <w:color w:val="auto"/>
          <w:highlight w:val="none"/>
        </w:rPr>
      </w:pPr>
      <w:bookmarkStart w:id="9" w:name="_Toc20131"/>
      <w:bookmarkStart w:id="10" w:name="_Toc32672"/>
      <w:r>
        <w:rPr>
          <w:rFonts w:hint="eastAsia" w:ascii="仿宋" w:hAnsi="仿宋" w:eastAsia="仿宋" w:cs="仿宋"/>
          <w:color w:val="auto"/>
          <w:highlight w:val="none"/>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highlight w:val="none"/>
        </w:rPr>
        <w:t xml:space="preserve">       </w:t>
      </w:r>
      <w:bookmarkEnd w:id="9"/>
    </w:p>
    <w:p w14:paraId="4B570009">
      <w:pPr>
        <w:tabs>
          <w:tab w:val="left" w:pos="1379"/>
        </w:tabs>
        <w:autoSpaceDE w:val="0"/>
        <w:autoSpaceDN w:val="0"/>
        <w:spacing w:line="360" w:lineRule="auto"/>
        <w:ind w:firstLine="482" w:firstLineChars="200"/>
        <w:jc w:val="left"/>
        <w:outlineLvl w:val="1"/>
        <w:rPr>
          <w:rFonts w:hint="eastAsia" w:ascii="仿宋" w:hAnsi="仿宋" w:eastAsia="仿宋" w:cs="仿宋"/>
          <w:b/>
          <w:snapToGrid w:val="0"/>
          <w:color w:val="auto"/>
          <w:kern w:val="0"/>
          <w:sz w:val="24"/>
          <w:szCs w:val="24"/>
          <w:highlight w:val="none"/>
        </w:rPr>
      </w:pPr>
      <w:bookmarkStart w:id="11" w:name="_Toc12363"/>
      <w:bookmarkStart w:id="12" w:name="_Toc25381"/>
      <w:r>
        <w:rPr>
          <w:rFonts w:hint="eastAsia" w:ascii="仿宋" w:hAnsi="仿宋" w:eastAsia="仿宋" w:cs="仿宋"/>
          <w:b/>
          <w:snapToGrid w:val="0"/>
          <w:color w:val="auto"/>
          <w:kern w:val="0"/>
          <w:sz w:val="24"/>
          <w:szCs w:val="24"/>
          <w:highlight w:val="none"/>
        </w:rPr>
        <w:t>第四条 交付时间、地点、方式</w:t>
      </w:r>
      <w:bookmarkEnd w:id="10"/>
      <w:bookmarkEnd w:id="11"/>
      <w:bookmarkEnd w:id="12"/>
    </w:p>
    <w:p w14:paraId="239E866C">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rPr>
      </w:pPr>
      <w:bookmarkStart w:id="13" w:name="_Toc212019594"/>
      <w:bookmarkStart w:id="14" w:name="_Toc225244852"/>
      <w:bookmarkStart w:id="15" w:name="_Toc283019214"/>
      <w:bookmarkStart w:id="16" w:name="_Toc238984975"/>
      <w:bookmarkStart w:id="17" w:name="_Toc247334841"/>
      <w:bookmarkStart w:id="18" w:name="_Toc211911348"/>
      <w:bookmarkStart w:id="19" w:name="_Toc225654644"/>
      <w:bookmarkStart w:id="20" w:name="_Toc232492928"/>
      <w:bookmarkStart w:id="21" w:name="_Toc185395249"/>
      <w:bookmarkStart w:id="22" w:name="_Toc241833903"/>
      <w:bookmarkStart w:id="23" w:name="_Toc286993786"/>
      <w:bookmarkStart w:id="24" w:name="_Toc225670751"/>
      <w:bookmarkStart w:id="25" w:name="_Toc237145406"/>
      <w:bookmarkStart w:id="26" w:name="_Toc251768862"/>
      <w:bookmarkStart w:id="27" w:name="_Toc239568418"/>
      <w:bookmarkStart w:id="28" w:name="_Toc239233914"/>
      <w:bookmarkStart w:id="29" w:name="_Toc211854449"/>
      <w:bookmarkStart w:id="30" w:name="_Toc282696226"/>
      <w:r>
        <w:rPr>
          <w:rFonts w:hint="eastAsia" w:ascii="仿宋" w:hAnsi="仿宋" w:eastAsia="仿宋" w:cs="仿宋"/>
          <w:snapToGrid w:val="0"/>
          <w:color w:val="auto"/>
          <w:kern w:val="0"/>
          <w:sz w:val="24"/>
          <w:szCs w:val="24"/>
          <w:highlight w:val="none"/>
        </w:rPr>
        <w:t>1.交付时间：</w:t>
      </w:r>
      <w:r>
        <w:rPr>
          <w:rFonts w:hint="eastAsia" w:ascii="仿宋" w:hAnsi="仿宋" w:eastAsia="仿宋" w:cs="仿宋"/>
          <w:snapToGrid w:val="0"/>
          <w:color w:val="auto"/>
          <w:kern w:val="0"/>
          <w:sz w:val="24"/>
          <w:szCs w:val="24"/>
          <w:highlight w:val="none"/>
          <w:u w:val="single"/>
        </w:rPr>
        <w:t xml:space="preserve">                                       </w:t>
      </w:r>
    </w:p>
    <w:p w14:paraId="3871BC82">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2.交付地点：</w:t>
      </w:r>
      <w:r>
        <w:rPr>
          <w:rFonts w:hint="eastAsia" w:ascii="仿宋" w:hAnsi="仿宋" w:eastAsia="仿宋" w:cs="仿宋"/>
          <w:snapToGrid w:val="0"/>
          <w:color w:val="auto"/>
          <w:kern w:val="0"/>
          <w:sz w:val="24"/>
          <w:szCs w:val="24"/>
          <w:highlight w:val="none"/>
          <w:u w:val="single"/>
        </w:rPr>
        <w:t xml:space="preserve">                                       </w:t>
      </w:r>
    </w:p>
    <w:p w14:paraId="311D86F6">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3.交付条件：</w:t>
      </w:r>
      <w:r>
        <w:rPr>
          <w:rFonts w:hint="eastAsia" w:ascii="仿宋" w:hAnsi="仿宋" w:eastAsia="仿宋" w:cs="仿宋"/>
          <w:snapToGrid w:val="0"/>
          <w:color w:val="auto"/>
          <w:kern w:val="0"/>
          <w:sz w:val="24"/>
          <w:szCs w:val="24"/>
          <w:highlight w:val="none"/>
          <w:u w:val="single"/>
          <w:lang w:val="zh-CN" w:bidi="zh-CN"/>
        </w:rPr>
        <w:t xml:space="preserve">                    </w:t>
      </w:r>
      <w:r>
        <w:rPr>
          <w:rFonts w:hint="eastAsia" w:ascii="仿宋" w:hAnsi="仿宋" w:eastAsia="仿宋" w:cs="仿宋"/>
          <w:snapToGrid w:val="0"/>
          <w:color w:val="auto"/>
          <w:kern w:val="0"/>
          <w:sz w:val="24"/>
          <w:szCs w:val="24"/>
          <w:highlight w:val="none"/>
          <w:u w:val="single"/>
          <w:lang w:bidi="zh-CN"/>
        </w:rPr>
        <w:t xml:space="preserve">                   </w:t>
      </w:r>
    </w:p>
    <w:p w14:paraId="315E62FD">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甲方联系人：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04779ABC">
      <w:pPr>
        <w:autoSpaceDE w:val="0"/>
        <w:autoSpaceDN w:val="0"/>
        <w:spacing w:line="360" w:lineRule="auto"/>
        <w:ind w:firstLine="480" w:firstLineChars="200"/>
        <w:jc w:val="left"/>
        <w:rPr>
          <w:rFonts w:hint="eastAsia" w:ascii="仿宋" w:hAnsi="仿宋" w:eastAsia="仿宋" w:cs="仿宋"/>
          <w:b/>
          <w:snapToGrid w:val="0"/>
          <w:color w:val="auto"/>
          <w:kern w:val="0"/>
          <w:sz w:val="24"/>
          <w:szCs w:val="24"/>
          <w:highlight w:val="none"/>
          <w:lang w:val="zh-CN" w:bidi="zh-CN"/>
        </w:rPr>
      </w:pPr>
      <w:r>
        <w:rPr>
          <w:rFonts w:hint="eastAsia" w:ascii="仿宋" w:hAnsi="仿宋" w:eastAsia="仿宋" w:cs="仿宋"/>
          <w:snapToGrid w:val="0"/>
          <w:color w:val="auto"/>
          <w:kern w:val="0"/>
          <w:sz w:val="24"/>
          <w:szCs w:val="24"/>
          <w:highlight w:val="none"/>
          <w:lang w:bidi="zh-CN"/>
        </w:rPr>
        <w:t>乙方联系人：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3C7EC0E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1" w:name="_Toc28705"/>
      <w:bookmarkStart w:id="32" w:name="_Toc7716"/>
      <w:bookmarkStart w:id="33" w:name="_Toc7708"/>
      <w:r>
        <w:rPr>
          <w:rFonts w:hint="eastAsia" w:ascii="仿宋" w:hAnsi="仿宋" w:eastAsia="仿宋" w:cs="仿宋"/>
          <w:b/>
          <w:snapToGrid w:val="0"/>
          <w:color w:val="auto"/>
          <w:kern w:val="0"/>
          <w:sz w:val="24"/>
          <w:szCs w:val="24"/>
          <w:highlight w:val="none"/>
        </w:rPr>
        <w:t>第五条 质量保证及售后服务</w:t>
      </w:r>
      <w:bookmarkEnd w:id="31"/>
      <w:bookmarkEnd w:id="32"/>
      <w:bookmarkEnd w:id="33"/>
    </w:p>
    <w:p w14:paraId="5CC206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质量保证：乙方应保证所提供的服务，符合甲方的要求。如不符时，乙方应负全责并尽快处理解决，由此造成的损失和相关费用由乙方负责，甲方保留终止合同及索赔的权利。</w:t>
      </w:r>
    </w:p>
    <w:p w14:paraId="3BDDD90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售后服务：</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w:t>
      </w:r>
    </w:p>
    <w:p w14:paraId="71E99B00">
      <w:pPr>
        <w:widowControl/>
        <w:numPr>
          <w:ilvl w:val="0"/>
          <w:numId w:val="2"/>
        </w:numPr>
        <w:pBdr>
          <w:top w:val="none" w:color="000000" w:sz="0" w:space="3"/>
          <w:left w:val="none" w:color="000000" w:sz="0" w:space="3"/>
          <w:bottom w:val="none" w:color="000000" w:sz="0" w:space="3"/>
          <w:right w:val="none" w:color="000000" w:sz="0" w:space="3"/>
          <w:between w:val="none" w:color="000000" w:sz="0" w:space="0"/>
        </w:pBdr>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 xml:space="preserve"> </w:t>
      </w:r>
      <w:bookmarkStart w:id="34" w:name="_Toc22318"/>
      <w:bookmarkStart w:id="35" w:name="_Toc31612"/>
      <w:bookmarkStart w:id="36" w:name="_Toc27776"/>
      <w:r>
        <w:rPr>
          <w:rFonts w:hint="eastAsia" w:ascii="仿宋" w:hAnsi="仿宋" w:eastAsia="仿宋" w:cs="仿宋"/>
          <w:b/>
          <w:color w:val="auto"/>
          <w:kern w:val="1"/>
          <w:sz w:val="24"/>
          <w:szCs w:val="24"/>
          <w:highlight w:val="none"/>
        </w:rPr>
        <w:t>验收</w:t>
      </w:r>
      <w:bookmarkEnd w:id="34"/>
      <w:bookmarkEnd w:id="35"/>
      <w:bookmarkEnd w:id="36"/>
    </w:p>
    <w:p w14:paraId="35DBA600">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bCs/>
          <w:color w:val="auto"/>
          <w:kern w:val="1"/>
          <w:sz w:val="24"/>
          <w:szCs w:val="24"/>
          <w:highlight w:val="none"/>
          <w:u w:val="single"/>
        </w:rPr>
      </w:pPr>
      <w:r>
        <w:rPr>
          <w:rFonts w:hint="eastAsia" w:ascii="仿宋" w:hAnsi="仿宋" w:eastAsia="仿宋" w:cs="仿宋"/>
          <w:bCs/>
          <w:color w:val="auto"/>
          <w:kern w:val="1"/>
          <w:sz w:val="24"/>
          <w:szCs w:val="24"/>
          <w:highlight w:val="none"/>
          <w:u w:val="single"/>
        </w:rPr>
        <w:t>乙方完成服务后应及时通知甲方进行验收。验收合格的，甲方在验收合格单上签字；验收不合格的，乙方应当在7日内进行返工或调整，并重新提交甲方验收。</w:t>
      </w:r>
    </w:p>
    <w:p w14:paraId="406C4F88">
      <w:pPr>
        <w:pBdr>
          <w:top w:val="none" w:color="000000" w:sz="0" w:space="3"/>
          <w:left w:val="none" w:color="000000" w:sz="0" w:space="3"/>
          <w:bottom w:val="none" w:color="000000" w:sz="0" w:space="3"/>
          <w:right w:val="none" w:color="000000" w:sz="0" w:space="3"/>
          <w:between w:val="none" w:color="000000" w:sz="0" w:space="0"/>
        </w:pBdr>
        <w:spacing w:line="360" w:lineRule="auto"/>
        <w:ind w:firstLine="482" w:firstLineChars="200"/>
        <w:outlineLvl w:val="1"/>
        <w:rPr>
          <w:rFonts w:hint="eastAsia" w:ascii="仿宋" w:hAnsi="仿宋" w:eastAsia="仿宋" w:cs="仿宋"/>
          <w:b/>
          <w:color w:val="auto"/>
          <w:kern w:val="1"/>
          <w:sz w:val="24"/>
          <w:szCs w:val="24"/>
          <w:highlight w:val="none"/>
        </w:rPr>
      </w:pPr>
      <w:bookmarkStart w:id="37" w:name="_Toc19571"/>
      <w:bookmarkStart w:id="38" w:name="_Toc13257"/>
      <w:bookmarkStart w:id="39" w:name="_Toc2361"/>
      <w:r>
        <w:rPr>
          <w:rFonts w:hint="eastAsia" w:ascii="仿宋" w:hAnsi="仿宋" w:eastAsia="仿宋" w:cs="仿宋"/>
          <w:b/>
          <w:color w:val="auto"/>
          <w:kern w:val="1"/>
          <w:sz w:val="24"/>
          <w:szCs w:val="24"/>
          <w:highlight w:val="none"/>
        </w:rPr>
        <w:t>第七条  无产权瑕疵条款</w:t>
      </w:r>
      <w:bookmarkEnd w:id="37"/>
      <w:bookmarkEnd w:id="38"/>
      <w:bookmarkEnd w:id="39"/>
    </w:p>
    <w:p w14:paraId="5F6A4212">
      <w:pPr>
        <w:widowControl/>
        <w:tabs>
          <w:tab w:val="left" w:pos="144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乙方保证所提供的服务的所有权完全属于乙方且无任何抵押、查封等产权瑕疵。如有产权瑕疵的，视为乙方违约。乙方应负担由此而产生的一切损失。</w:t>
      </w:r>
    </w:p>
    <w:p w14:paraId="5646D8B7">
      <w:pPr>
        <w:widowControl/>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0" w:name="_Toc24422"/>
      <w:bookmarkStart w:id="41" w:name="_Toc12634"/>
      <w:bookmarkStart w:id="42" w:name="_Toc30074"/>
      <w:r>
        <w:rPr>
          <w:rFonts w:hint="eastAsia" w:ascii="仿宋" w:hAnsi="仿宋" w:eastAsia="仿宋" w:cs="仿宋"/>
          <w:b/>
          <w:snapToGrid w:val="0"/>
          <w:color w:val="auto"/>
          <w:kern w:val="0"/>
          <w:sz w:val="24"/>
          <w:szCs w:val="24"/>
          <w:highlight w:val="none"/>
        </w:rPr>
        <w:t>第八条  甲方的权利和义务</w:t>
      </w:r>
      <w:bookmarkEnd w:id="40"/>
      <w:bookmarkEnd w:id="41"/>
      <w:bookmarkEnd w:id="42"/>
    </w:p>
    <w:p w14:paraId="1E37596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CB595FE">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2.甲方有权依据双方签订的考评办法对乙方提供的服务进行定期考评。当考评结果未达到标准时，有权依据考评办法约定的数额扣除履约保证金。</w:t>
      </w:r>
    </w:p>
    <w:p w14:paraId="4139D532">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3.负责检查监督乙方管理工作的实施及制度的执行情况。</w:t>
      </w:r>
    </w:p>
    <w:p w14:paraId="59B57BDA">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4.根据本合同规定，按时向乙方支付应付服务费用。</w:t>
      </w:r>
    </w:p>
    <w:p w14:paraId="28D364FC">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5.国家法律、法规所规定由甲方承担的其它责任。</w:t>
      </w:r>
    </w:p>
    <w:p w14:paraId="5FB5889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3" w:name="_Toc19623"/>
      <w:bookmarkStart w:id="44" w:name="_Toc7436"/>
      <w:r>
        <w:rPr>
          <w:rFonts w:hint="eastAsia" w:ascii="仿宋" w:hAnsi="仿宋" w:eastAsia="仿宋" w:cs="仿宋"/>
          <w:b/>
          <w:snapToGrid w:val="0"/>
          <w:color w:val="auto"/>
          <w:kern w:val="0"/>
          <w:sz w:val="24"/>
          <w:szCs w:val="24"/>
          <w:highlight w:val="none"/>
        </w:rPr>
        <w:t>第九条  乙方的权利和义务</w:t>
      </w:r>
      <w:bookmarkEnd w:id="43"/>
      <w:bookmarkEnd w:id="44"/>
    </w:p>
    <w:p w14:paraId="02A0337B">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03DAED60">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2.根据本合同的规定向甲方收取相关服务费用，并有权在本项目管理范围内管理及合理使用。</w:t>
      </w:r>
    </w:p>
    <w:p w14:paraId="35C3CBB5">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3.及时向甲方通告本项目服务范围内有关服务的重大事项，及时配合处理投诉。</w:t>
      </w:r>
    </w:p>
    <w:p w14:paraId="7D99E05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w:t>
      </w:r>
      <w:r>
        <w:rPr>
          <w:rFonts w:hint="eastAsia" w:ascii="仿宋" w:hAnsi="仿宋" w:eastAsia="仿宋" w:cs="仿宋"/>
          <w:bCs/>
          <w:snapToGrid w:val="0"/>
          <w:color w:val="auto"/>
          <w:kern w:val="0"/>
          <w:sz w:val="24"/>
          <w:szCs w:val="24"/>
          <w:highlight w:val="none"/>
        </w:rPr>
        <w:t>接受项目行业管理部门及政府有关部门的指导，接受甲方的监督。</w:t>
      </w:r>
    </w:p>
    <w:p w14:paraId="1A5C3054">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5.国家法律、法规所规定由乙方承担的其它责任。</w:t>
      </w:r>
    </w:p>
    <w:p w14:paraId="1D741E72">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5" w:name="_Toc29819"/>
      <w:bookmarkStart w:id="46" w:name="_Toc11196"/>
      <w:bookmarkStart w:id="47" w:name="_Toc18131"/>
      <w:r>
        <w:rPr>
          <w:rFonts w:hint="eastAsia" w:ascii="仿宋" w:hAnsi="仿宋" w:eastAsia="仿宋" w:cs="仿宋"/>
          <w:b/>
          <w:snapToGrid w:val="0"/>
          <w:color w:val="auto"/>
          <w:kern w:val="0"/>
          <w:sz w:val="24"/>
          <w:szCs w:val="24"/>
          <w:highlight w:val="none"/>
        </w:rPr>
        <w:t>第十条  违约责任</w:t>
      </w:r>
      <w:bookmarkEnd w:id="45"/>
      <w:bookmarkEnd w:id="46"/>
      <w:bookmarkEnd w:id="47"/>
    </w:p>
    <w:p w14:paraId="20FF461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1.甲乙双方必须遵守本合同并执行合同中的各项规定，保证本合同的正常履行。</w:t>
      </w:r>
    </w:p>
    <w:p w14:paraId="0EC80E5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33815404">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8" w:name="_Toc30563"/>
      <w:bookmarkStart w:id="49" w:name="_Toc20912"/>
      <w:bookmarkStart w:id="50" w:name="_Toc29882"/>
      <w:r>
        <w:rPr>
          <w:rFonts w:hint="eastAsia" w:ascii="仿宋" w:hAnsi="仿宋" w:eastAsia="仿宋" w:cs="仿宋"/>
          <w:b/>
          <w:snapToGrid w:val="0"/>
          <w:color w:val="auto"/>
          <w:kern w:val="0"/>
          <w:sz w:val="24"/>
          <w:szCs w:val="24"/>
          <w:highlight w:val="none"/>
        </w:rPr>
        <w:t>第十一条  不可抗力事件处理</w:t>
      </w:r>
      <w:bookmarkEnd w:id="48"/>
      <w:bookmarkEnd w:id="49"/>
      <w:bookmarkEnd w:id="50"/>
    </w:p>
    <w:p w14:paraId="6D249D55">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1.在合同有效期内，任何一方因不可抗力事件导致不能履行合同，则合同履行期可延长，其延长期与不可抗力影响期相同。</w:t>
      </w:r>
    </w:p>
    <w:p w14:paraId="5B45135D">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2.不可抗力事件发生后，应立即通知对方，并寄送有关权威机构出具的证明。</w:t>
      </w:r>
    </w:p>
    <w:p w14:paraId="2C927229">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3.不可抗力事件延续30天以上，双方应通过友好协商，确定是否继续履行合同。</w:t>
      </w:r>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00CB1B13">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51" w:name="_Toc13911"/>
      <w:bookmarkStart w:id="52" w:name="_Toc362"/>
      <w:bookmarkStart w:id="53" w:name="_Toc830"/>
      <w:bookmarkStart w:id="54" w:name="_Toc238984980"/>
      <w:bookmarkStart w:id="55" w:name="_Toc247334846"/>
      <w:bookmarkStart w:id="56" w:name="_Toc211854454"/>
      <w:bookmarkStart w:id="57" w:name="_Toc237145411"/>
      <w:bookmarkStart w:id="58" w:name="_Toc251768867"/>
      <w:bookmarkStart w:id="59" w:name="_Toc211911353"/>
      <w:bookmarkStart w:id="60" w:name="_Toc232492933"/>
      <w:bookmarkStart w:id="61" w:name="_Toc185395254"/>
      <w:bookmarkStart w:id="62" w:name="_Toc239568423"/>
      <w:bookmarkStart w:id="63" w:name="_Toc286993792"/>
      <w:bookmarkStart w:id="64" w:name="_Toc225244857"/>
      <w:bookmarkStart w:id="65" w:name="_Toc241833908"/>
      <w:bookmarkStart w:id="66" w:name="_Toc239233919"/>
      <w:bookmarkStart w:id="67" w:name="_Toc212019599"/>
      <w:bookmarkStart w:id="68" w:name="_Toc225670756"/>
      <w:bookmarkStart w:id="69" w:name="_Toc225654649"/>
      <w:r>
        <w:rPr>
          <w:rFonts w:hint="eastAsia" w:ascii="仿宋" w:hAnsi="仿宋" w:eastAsia="仿宋" w:cs="仿宋"/>
          <w:b/>
          <w:snapToGrid w:val="0"/>
          <w:color w:val="auto"/>
          <w:kern w:val="0"/>
          <w:sz w:val="24"/>
          <w:szCs w:val="24"/>
          <w:highlight w:val="none"/>
        </w:rPr>
        <w:t>第十二条  合同的变更和终止</w:t>
      </w:r>
      <w:bookmarkEnd w:id="51"/>
      <w:bookmarkEnd w:id="52"/>
      <w:bookmarkEnd w:id="53"/>
    </w:p>
    <w:p w14:paraId="57C04F6A">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除《中华人民共和国政府采购法》第49条、第50条第二款规定的情形外，本合同一经签订，甲乙双方不得擅自变更、中止或终止合同。</w:t>
      </w:r>
    </w:p>
    <w:p w14:paraId="3BE2F267">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0" w:name="_Toc25935"/>
      <w:bookmarkStart w:id="71" w:name="_Toc5821"/>
      <w:bookmarkStart w:id="72" w:name="_Toc317"/>
      <w:r>
        <w:rPr>
          <w:rFonts w:hint="eastAsia" w:ascii="仿宋" w:hAnsi="仿宋" w:eastAsia="仿宋" w:cs="仿宋"/>
          <w:b/>
          <w:snapToGrid w:val="0"/>
          <w:color w:val="auto"/>
          <w:kern w:val="0"/>
          <w:sz w:val="24"/>
          <w:szCs w:val="24"/>
          <w:highlight w:val="none"/>
        </w:rPr>
        <w:t xml:space="preserve">第十三条  </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仿宋" w:hAnsi="仿宋" w:eastAsia="仿宋" w:cs="仿宋"/>
          <w:b/>
          <w:snapToGrid w:val="0"/>
          <w:color w:val="auto"/>
          <w:kern w:val="0"/>
          <w:sz w:val="24"/>
          <w:szCs w:val="24"/>
          <w:highlight w:val="none"/>
        </w:rPr>
        <w:t>争议解决条款</w:t>
      </w:r>
      <w:bookmarkEnd w:id="70"/>
      <w:bookmarkEnd w:id="71"/>
      <w:bookmarkEnd w:id="72"/>
    </w:p>
    <w:p w14:paraId="2EEA99B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在执行本合同中发生的或与本合同有关的争端，双方应通过友好协商解决，经协商在7天内不能达成协议时，则采取：向甲方所在地有管辖权的人民法院提起诉讼；</w:t>
      </w:r>
    </w:p>
    <w:p w14:paraId="5390F4ED">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3" w:name="_Toc241833909"/>
      <w:bookmarkStart w:id="74" w:name="_Toc211911354"/>
      <w:bookmarkStart w:id="75" w:name="_Toc225654650"/>
      <w:bookmarkStart w:id="76" w:name="_Toc239568424"/>
      <w:bookmarkStart w:id="77" w:name="_Toc225670757"/>
      <w:bookmarkStart w:id="78" w:name="_Toc238984981"/>
      <w:bookmarkStart w:id="79" w:name="_Toc232492934"/>
      <w:bookmarkStart w:id="80" w:name="_Toc283019219"/>
      <w:bookmarkStart w:id="81" w:name="_Toc225244858"/>
      <w:bookmarkStart w:id="82" w:name="_Toc247334847"/>
      <w:bookmarkStart w:id="83" w:name="_Toc286993793"/>
      <w:bookmarkStart w:id="84" w:name="_Toc211854455"/>
      <w:bookmarkStart w:id="85" w:name="_Toc185395255"/>
      <w:bookmarkStart w:id="86" w:name="_Toc237145412"/>
      <w:bookmarkStart w:id="87" w:name="_Toc251768868"/>
      <w:bookmarkStart w:id="88" w:name="_Toc282696231"/>
      <w:bookmarkStart w:id="89" w:name="_Toc239233920"/>
      <w:bookmarkStart w:id="90" w:name="_Toc212019600"/>
      <w:bookmarkStart w:id="91" w:name="_Toc6377"/>
      <w:bookmarkStart w:id="92" w:name="_Toc233"/>
      <w:bookmarkStart w:id="93" w:name="_Toc29710"/>
      <w:r>
        <w:rPr>
          <w:rFonts w:hint="eastAsia" w:ascii="仿宋" w:hAnsi="仿宋" w:eastAsia="仿宋" w:cs="仿宋"/>
          <w:b/>
          <w:snapToGrid w:val="0"/>
          <w:color w:val="auto"/>
          <w:kern w:val="0"/>
          <w:sz w:val="24"/>
          <w:szCs w:val="24"/>
          <w:highlight w:val="none"/>
        </w:rPr>
        <w:t>第十四条  合同</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hint="eastAsia" w:ascii="仿宋" w:hAnsi="仿宋" w:eastAsia="仿宋" w:cs="仿宋"/>
          <w:b/>
          <w:snapToGrid w:val="0"/>
          <w:color w:val="auto"/>
          <w:kern w:val="0"/>
          <w:sz w:val="24"/>
          <w:szCs w:val="24"/>
          <w:highlight w:val="none"/>
        </w:rPr>
        <w:t>生效及其他</w:t>
      </w:r>
      <w:bookmarkEnd w:id="91"/>
      <w:bookmarkEnd w:id="92"/>
      <w:bookmarkEnd w:id="93"/>
    </w:p>
    <w:p w14:paraId="5EE94F41">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1.合同经双方法定代表人或授权委托代理人签字并加盖单位公章后生效。</w:t>
      </w:r>
    </w:p>
    <w:p w14:paraId="7789E9CD">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69F410C3">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3.本合同一式</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份，自双方签章之日起起效。甲方</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份，乙方</w:t>
      </w:r>
      <w:r>
        <w:rPr>
          <w:rFonts w:hint="eastAsia" w:ascii="仿宋" w:hAnsi="仿宋" w:eastAsia="仿宋" w:cs="仿宋"/>
          <w:i/>
          <w:iCs/>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份，具有同等法律效力。</w:t>
      </w:r>
    </w:p>
    <w:p w14:paraId="70931DAB">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94" w:name="_Toc15608"/>
      <w:bookmarkStart w:id="95" w:name="_Toc22754"/>
      <w:bookmarkStart w:id="96" w:name="_Toc28847"/>
      <w:r>
        <w:rPr>
          <w:rFonts w:hint="eastAsia" w:ascii="仿宋" w:hAnsi="仿宋" w:eastAsia="仿宋" w:cs="仿宋"/>
          <w:b/>
          <w:snapToGrid w:val="0"/>
          <w:color w:val="auto"/>
          <w:kern w:val="0"/>
          <w:sz w:val="24"/>
          <w:szCs w:val="24"/>
          <w:highlight w:val="none"/>
        </w:rPr>
        <w:t>第十五条  附件</w:t>
      </w:r>
      <w:bookmarkEnd w:id="94"/>
      <w:bookmarkEnd w:id="95"/>
      <w:bookmarkEnd w:id="96"/>
    </w:p>
    <w:p w14:paraId="2799D60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1.项目竞争性磋商文件</w:t>
      </w:r>
    </w:p>
    <w:p w14:paraId="090DD17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2.项目修改澄清文件（若有）</w:t>
      </w:r>
    </w:p>
    <w:p w14:paraId="1BB7E2E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3.项目响应文件</w:t>
      </w:r>
    </w:p>
    <w:p w14:paraId="26EB0484">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4.成交通知书</w:t>
      </w:r>
    </w:p>
    <w:p w14:paraId="3B5B2F69">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5.其他</w:t>
      </w:r>
    </w:p>
    <w:p w14:paraId="68EAC0A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54886A3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427DA9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61FE79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甲     方：（公章）   </w:t>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 xml:space="preserve">     乙    方：   （公章）</w:t>
      </w:r>
    </w:p>
    <w:p w14:paraId="13BED960">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法定代表人（委托代理人）：          法定代表人（委托代理人）：</w:t>
      </w:r>
    </w:p>
    <w:p w14:paraId="453DA76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地    址：                          地    址：</w:t>
      </w:r>
    </w:p>
    <w:p w14:paraId="647ACFC7">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开户银行：                          开户银行：</w:t>
      </w:r>
    </w:p>
    <w:p w14:paraId="6566C8B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账号名称：                          账号名称：</w:t>
      </w:r>
    </w:p>
    <w:p w14:paraId="0E82C9F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    号：                          账    号：</w:t>
      </w:r>
    </w:p>
    <w:p w14:paraId="79921BB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纳税人识别号：                      纳税人识别号：</w:t>
      </w:r>
    </w:p>
    <w:p w14:paraId="038950EE">
      <w:pPr>
        <w:widowControl/>
        <w:kinsoku w:val="0"/>
        <w:autoSpaceDE w:val="0"/>
        <w:autoSpaceDN w:val="0"/>
        <w:adjustRightInd w:val="0"/>
        <w:snapToGrid w:val="0"/>
        <w:spacing w:line="360" w:lineRule="auto"/>
        <w:ind w:firstLine="240" w:firstLineChars="1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  电    话：                          电    话：</w:t>
      </w:r>
    </w:p>
    <w:p w14:paraId="4AB30444">
      <w:pPr>
        <w:widowControl/>
        <w:kinsoku w:val="0"/>
        <w:autoSpaceDE w:val="0"/>
        <w:autoSpaceDN w:val="0"/>
        <w:adjustRightInd w:val="0"/>
        <w:snapToGrid w:val="0"/>
        <w:spacing w:after="120" w:line="360" w:lineRule="auto"/>
        <w:ind w:firstLine="480" w:firstLineChars="200"/>
        <w:jc w:val="left"/>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 xml:space="preserve">日    期：    年  月  日 </w:t>
      </w:r>
      <w:r>
        <w:rPr>
          <w:rFonts w:hint="eastAsia" w:ascii="仿宋" w:hAnsi="仿宋" w:eastAsia="仿宋" w:cs="仿宋"/>
          <w:snapToGrid w:val="0"/>
          <w:color w:val="auto"/>
          <w:sz w:val="24"/>
          <w:szCs w:val="24"/>
          <w:highlight w:val="none"/>
        </w:rPr>
        <w:tab/>
      </w:r>
      <w:r>
        <w:rPr>
          <w:rFonts w:hint="eastAsia" w:ascii="仿宋" w:hAnsi="仿宋" w:eastAsia="仿宋" w:cs="仿宋"/>
          <w:snapToGrid w:val="0"/>
          <w:color w:val="auto"/>
          <w:sz w:val="24"/>
          <w:szCs w:val="24"/>
          <w:highlight w:val="none"/>
        </w:rPr>
        <w:t xml:space="preserve">        日    期：  年  月  日</w:t>
      </w:r>
    </w:p>
    <w:p w14:paraId="6990721B">
      <w:pPr>
        <w:widowControl/>
        <w:spacing w:line="360" w:lineRule="auto"/>
        <w:ind w:firstLine="480" w:firstLineChars="200"/>
        <w:jc w:val="left"/>
        <w:rPr>
          <w:rFonts w:hint="eastAsia" w:ascii="仿宋" w:hAnsi="仿宋" w:eastAsia="仿宋" w:cs="仿宋"/>
          <w:color w:val="auto"/>
          <w:kern w:val="0"/>
          <w:sz w:val="24"/>
          <w:szCs w:val="24"/>
          <w:highlight w:val="none"/>
          <w:lang w:eastAsia="zh-Hans"/>
        </w:rPr>
      </w:pPr>
    </w:p>
    <w:p w14:paraId="14C690BC">
      <w:pPr>
        <w:rPr>
          <w:rFonts w:hint="eastAsia" w:ascii="仿宋" w:hAnsi="仿宋" w:eastAsia="仿宋" w:cs="仿宋"/>
          <w:color w:val="auto"/>
          <w:highlight w:val="none"/>
          <w:lang w:val="en-US" w:eastAsia="zh-Hans"/>
        </w:rPr>
      </w:pPr>
    </w:p>
    <w:p w14:paraId="1D66FF8B">
      <w:bookmarkStart w:id="97" w:name="_GoBack"/>
      <w:bookmarkEnd w:id="97"/>
    </w:p>
    <w:sectPr>
      <w:pgSz w:w="11906" w:h="16838"/>
      <w:pgMar w:top="1440" w:right="1440" w:bottom="1440" w:left="144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337B4A"/>
    <w:rsid w:val="3D337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2025-08-13T03:07:00Z</dcterms:created>
  <dc:creator>CL</dc:creator>
  <cp:lastModifiedBy>CL</cp:lastModifiedBy>
  <dcterms:modified xsi:type="dcterms:W3CDTF">2025-08-13T03:08:03Z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C23220A56C6549CEAEA710F940D07682_11</vt:lpwstr>
  </property>
  <property fmtid="{D5CDD505-2E9C-101B-9397-08002B2CF9AE}" pid="4" name="KSOTemplateDocerSaveRecord">
    <vt:lpwstr>eyJoZGlkIjoiOGE4N2ZhNDUxNzE3N2I4NmQ3NGFiYWIyMDkwYTY4MTMiLCJ1c2VySWQiOiI5OTA3NTIwNzAifQ==</vt:lpwstr>
  </property>
</Properties>
</file>