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04302">
      <w:pPr>
        <w:spacing w:before="624" w:beforeLines="200" w:after="624" w:afterLines="200"/>
        <w:rPr>
          <w:rFonts w:ascii="黑体" w:hAnsi="黑体" w:eastAsia="黑体"/>
          <w:sz w:val="36"/>
        </w:rPr>
      </w:pPr>
      <w:r>
        <w:rPr>
          <w:rFonts w:hint="eastAsia" w:ascii="黑体" w:hAnsi="黑体" w:eastAsia="黑体"/>
          <w:sz w:val="36"/>
        </w:rPr>
        <w:t xml:space="preserve">政府采购项目                        </w:t>
      </w:r>
      <w:r>
        <w:rPr>
          <w:rFonts w:hint="eastAsia" w:ascii="黑体" w:hAnsi="黑体" w:eastAsia="黑体"/>
          <w:sz w:val="36"/>
          <w:bdr w:val="single" w:color="auto" w:sz="4" w:space="0"/>
        </w:rPr>
        <w:t>竞争性磋商</w:t>
      </w:r>
    </w:p>
    <w:p w14:paraId="7B94689A">
      <w:pPr>
        <w:spacing w:before="624" w:beforeLines="200" w:after="624" w:afterLines="200"/>
        <w:jc w:val="center"/>
        <w:rPr>
          <w:rFonts w:hint="eastAsia" w:ascii="黑体" w:hAnsi="黑体" w:eastAsia="黑体"/>
          <w:b/>
          <w:bCs/>
          <w:sz w:val="52"/>
        </w:rPr>
      </w:pPr>
      <w:r>
        <w:rPr>
          <w:rFonts w:hint="eastAsia" w:ascii="黑体" w:hAnsi="黑体" w:eastAsia="黑体"/>
          <w:b/>
          <w:bCs/>
          <w:sz w:val="52"/>
        </w:rPr>
        <w:t>西安市钟鼓楼电气线路隐患</w:t>
      </w:r>
    </w:p>
    <w:p w14:paraId="1BCE0BFF">
      <w:pPr>
        <w:spacing w:before="624" w:beforeLines="200" w:after="624" w:afterLines="200"/>
        <w:jc w:val="center"/>
        <w:rPr>
          <w:rFonts w:ascii="黑体" w:hAnsi="黑体" w:eastAsia="黑体"/>
          <w:b/>
          <w:bCs/>
          <w:sz w:val="52"/>
        </w:rPr>
      </w:pPr>
      <w:r>
        <w:rPr>
          <w:rFonts w:hint="eastAsia" w:ascii="黑体" w:hAnsi="黑体" w:eastAsia="黑体"/>
          <w:b/>
          <w:bCs/>
          <w:sz w:val="52"/>
        </w:rPr>
        <w:t>整改项目施工合同</w:t>
      </w:r>
    </w:p>
    <w:p w14:paraId="664BD9ED">
      <w:pPr>
        <w:spacing w:before="624" w:beforeLines="200" w:after="624" w:afterLines="200"/>
        <w:ind w:firstLine="1928" w:firstLineChars="600"/>
        <w:rPr>
          <w:b/>
          <w:sz w:val="32"/>
          <w:szCs w:val="32"/>
        </w:rPr>
      </w:pPr>
    </w:p>
    <w:p w14:paraId="41B278C4">
      <w:pPr>
        <w:spacing w:before="624" w:beforeLines="200" w:after="624" w:afterLines="200"/>
        <w:ind w:firstLine="964" w:firstLineChars="300"/>
        <w:rPr>
          <w:b/>
          <w:sz w:val="32"/>
          <w:szCs w:val="32"/>
        </w:rPr>
      </w:pPr>
      <w:r>
        <w:rPr>
          <w:rFonts w:hint="eastAsia"/>
          <w:b/>
          <w:sz w:val="32"/>
          <w:szCs w:val="32"/>
        </w:rPr>
        <w:t xml:space="preserve">            </w:t>
      </w:r>
    </w:p>
    <w:p w14:paraId="32FA1D29">
      <w:pPr>
        <w:spacing w:before="624" w:beforeLines="200" w:after="624" w:afterLines="200"/>
        <w:ind w:firstLine="964" w:firstLineChars="300"/>
        <w:rPr>
          <w:b/>
          <w:sz w:val="32"/>
          <w:szCs w:val="32"/>
        </w:rPr>
      </w:pPr>
    </w:p>
    <w:p w14:paraId="450D8239">
      <w:pPr>
        <w:spacing w:before="624" w:beforeLines="200" w:after="624" w:afterLines="200"/>
        <w:ind w:firstLine="964" w:firstLineChars="300"/>
        <w:rPr>
          <w:b/>
          <w:sz w:val="32"/>
          <w:szCs w:val="32"/>
        </w:rPr>
      </w:pPr>
      <w:r>
        <w:rPr>
          <w:rFonts w:hint="eastAsia"/>
          <w:b/>
          <w:sz w:val="32"/>
          <w:szCs w:val="32"/>
        </w:rPr>
        <w:t xml:space="preserve">   </w:t>
      </w:r>
    </w:p>
    <w:p w14:paraId="3CBFDECB">
      <w:pPr>
        <w:spacing w:before="624" w:beforeLines="200" w:after="624" w:afterLines="200"/>
        <w:rPr>
          <w:b/>
          <w:sz w:val="32"/>
          <w:szCs w:val="32"/>
        </w:rPr>
      </w:pPr>
    </w:p>
    <w:p w14:paraId="2E81183E">
      <w:pPr>
        <w:spacing w:before="156" w:beforeLines="50" w:after="156" w:afterLines="50"/>
        <w:ind w:firstLine="1446" w:firstLineChars="450"/>
        <w:rPr>
          <w:rFonts w:hint="eastAsia"/>
          <w:b/>
          <w:sz w:val="32"/>
          <w:szCs w:val="32"/>
        </w:rPr>
      </w:pPr>
      <w:r>
        <w:rPr>
          <w:rFonts w:hint="eastAsia"/>
          <w:b/>
          <w:sz w:val="32"/>
          <w:szCs w:val="32"/>
        </w:rPr>
        <w:t>甲    方：</w:t>
      </w:r>
    </w:p>
    <w:p w14:paraId="28A993AA">
      <w:pPr>
        <w:spacing w:before="156" w:beforeLines="50" w:after="156" w:afterLines="50"/>
        <w:ind w:firstLine="1446" w:firstLineChars="450"/>
        <w:rPr>
          <w:b/>
          <w:sz w:val="32"/>
          <w:szCs w:val="32"/>
        </w:rPr>
      </w:pPr>
      <w:r>
        <w:rPr>
          <w:rFonts w:hint="eastAsia"/>
          <w:b/>
          <w:sz w:val="32"/>
          <w:szCs w:val="32"/>
        </w:rPr>
        <w:t>乙    方：</w:t>
      </w:r>
    </w:p>
    <w:p w14:paraId="095B30A7">
      <w:pPr>
        <w:tabs>
          <w:tab w:val="left" w:pos="2940"/>
        </w:tabs>
        <w:spacing w:before="156" w:beforeLines="50" w:after="156" w:afterLines="50"/>
        <w:ind w:firstLine="1446" w:firstLineChars="450"/>
        <w:rPr>
          <w:b/>
          <w:sz w:val="32"/>
          <w:szCs w:val="32"/>
        </w:rPr>
      </w:pPr>
      <w:r>
        <w:rPr>
          <w:rFonts w:hint="eastAsia"/>
          <w:b/>
          <w:sz w:val="32"/>
          <w:szCs w:val="32"/>
        </w:rPr>
        <w:t>签定日期：</w:t>
      </w:r>
    </w:p>
    <w:p w14:paraId="2F3CE5A8">
      <w:pPr>
        <w:spacing w:line="560" w:lineRule="exact"/>
        <w:rPr>
          <w:rFonts w:ascii="仿宋" w:hAnsi="仿宋" w:eastAsia="仿宋" w:cs="仿宋"/>
          <w:sz w:val="24"/>
          <w:szCs w:val="24"/>
        </w:rPr>
      </w:pPr>
    </w:p>
    <w:p w14:paraId="5B198C8D">
      <w:pPr>
        <w:spacing w:line="560" w:lineRule="exact"/>
        <w:rPr>
          <w:rFonts w:ascii="仿宋" w:hAnsi="仿宋" w:eastAsia="仿宋" w:cs="仿宋"/>
          <w:sz w:val="24"/>
          <w:szCs w:val="24"/>
        </w:rPr>
      </w:pPr>
    </w:p>
    <w:p w14:paraId="523A5090">
      <w:pPr>
        <w:spacing w:line="560" w:lineRule="exact"/>
        <w:rPr>
          <w:rFonts w:ascii="仿宋" w:hAnsi="仿宋" w:eastAsia="仿宋" w:cs="仿宋"/>
          <w:sz w:val="24"/>
          <w:szCs w:val="24"/>
        </w:rPr>
      </w:pPr>
    </w:p>
    <w:p w14:paraId="5C37703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w:t>
      </w:r>
    </w:p>
    <w:p w14:paraId="6B38AE2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住所：</w:t>
      </w:r>
    </w:p>
    <w:p w14:paraId="7EC9D7B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w:t>
      </w:r>
    </w:p>
    <w:p w14:paraId="1C73E979">
      <w:pPr>
        <w:spacing w:line="56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住所：</w:t>
      </w:r>
    </w:p>
    <w:p w14:paraId="26A518D9">
      <w:pPr>
        <w:spacing w:line="5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依照《中华人民共和国民法典》及其它有关法律、法规、规章及规范性文件的规定，结合本装修工程的具体情况，甲、乙双方在平等、自愿、协商一致的基础上，就乙方承包甲方的</w:t>
      </w:r>
      <w:r>
        <w:rPr>
          <w:rFonts w:hint="eastAsia" w:ascii="仿宋" w:hAnsi="仿宋" w:eastAsia="仿宋" w:cs="仿宋"/>
          <w:sz w:val="24"/>
          <w:szCs w:val="24"/>
          <w:u w:val="single"/>
        </w:rPr>
        <w:t>2024年西安鼓楼一层檐屋面保护修缮工程</w:t>
      </w:r>
      <w:r>
        <w:rPr>
          <w:rFonts w:hint="eastAsia" w:ascii="仿宋" w:hAnsi="仿宋" w:eastAsia="仿宋" w:cs="仿宋"/>
          <w:sz w:val="24"/>
          <w:szCs w:val="24"/>
        </w:rPr>
        <w:t>有关事宜（以下简称“本项目”或“本工程”），达成如下协议：</w:t>
      </w:r>
    </w:p>
    <w:p w14:paraId="70114527">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第1条 工程概况</w:t>
      </w:r>
    </w:p>
    <w:p w14:paraId="31AE3458">
      <w:pPr>
        <w:pStyle w:val="8"/>
        <w:shd w:val="clear" w:color="auto" w:fill="auto"/>
        <w:tabs>
          <w:tab w:val="left" w:leader="underscore" w:pos="5642"/>
        </w:tabs>
        <w:spacing w:line="560" w:lineRule="exact"/>
        <w:ind w:firstLine="480" w:firstLineChars="200"/>
        <w:rPr>
          <w:rFonts w:ascii="仿宋" w:hAnsi="仿宋" w:eastAsia="仿宋" w:cs="仿宋"/>
          <w:sz w:val="24"/>
          <w:szCs w:val="24"/>
          <w:u w:val="single"/>
          <w:lang w:val="en-US" w:bidi="ar-SA"/>
        </w:rPr>
      </w:pPr>
      <w:r>
        <w:rPr>
          <w:rFonts w:hint="eastAsia" w:ascii="仿宋" w:hAnsi="仿宋" w:eastAsia="仿宋" w:cs="仿宋"/>
          <w:sz w:val="24"/>
          <w:szCs w:val="24"/>
          <w:lang w:val="en-US" w:bidi="ar-SA"/>
        </w:rPr>
        <w:t>1.1 工程名称：</w:t>
      </w:r>
      <w:r>
        <w:rPr>
          <w:rFonts w:hint="eastAsia" w:ascii="仿宋" w:hAnsi="仿宋" w:eastAsia="仿宋" w:cs="仿宋"/>
          <w:sz w:val="24"/>
          <w:szCs w:val="24"/>
          <w:u w:val="single"/>
        </w:rPr>
        <w:t>西安市钟鼓楼电气线路隐患整改项目</w:t>
      </w:r>
    </w:p>
    <w:p w14:paraId="2140A652">
      <w:pPr>
        <w:spacing w:line="56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1.2 工程地点：</w:t>
      </w:r>
      <w:r>
        <w:rPr>
          <w:rFonts w:hint="eastAsia" w:ascii="仿宋" w:hAnsi="仿宋" w:eastAsia="仿宋" w:cs="仿宋"/>
          <w:sz w:val="24"/>
          <w:szCs w:val="24"/>
          <w:u w:val="single"/>
        </w:rPr>
        <w:t>西安市莲湖区钟鼓楼(采购人指定地点)</w:t>
      </w:r>
    </w:p>
    <w:p w14:paraId="7C85E15B">
      <w:pPr>
        <w:spacing w:line="56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1.3 承包内容：</w:t>
      </w:r>
      <w:r>
        <w:rPr>
          <w:rFonts w:hint="eastAsia" w:ascii="仿宋" w:hAnsi="仿宋" w:eastAsia="仿宋" w:cs="仿宋"/>
          <w:sz w:val="24"/>
          <w:szCs w:val="24"/>
          <w:u w:val="single"/>
        </w:rPr>
        <w:t xml:space="preserve">详见预算清单                  </w:t>
      </w:r>
    </w:p>
    <w:p w14:paraId="7879A757">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1.4 承包方式：</w:t>
      </w:r>
      <w:r>
        <w:rPr>
          <w:rFonts w:hint="eastAsia" w:ascii="仿宋" w:hAnsi="仿宋" w:eastAsia="仿宋" w:cs="仿宋"/>
          <w:sz w:val="24"/>
          <w:szCs w:val="24"/>
          <w:u w:val="single"/>
        </w:rPr>
        <w:t xml:space="preserve">包工包料                 </w:t>
      </w:r>
    </w:p>
    <w:p w14:paraId="599C115C">
      <w:pPr>
        <w:pStyle w:val="9"/>
        <w:spacing w:before="20" w:after="20" w:line="560" w:lineRule="exact"/>
        <w:ind w:left="0" w:right="8" w:rightChars="4" w:firstLine="480" w:firstLineChars="200"/>
        <w:rPr>
          <w:rFonts w:ascii="仿宋" w:hAnsi="仿宋" w:eastAsia="仿宋" w:cs="仿宋"/>
          <w:szCs w:val="24"/>
        </w:rPr>
      </w:pPr>
      <w:r>
        <w:rPr>
          <w:rFonts w:hint="eastAsia" w:ascii="仿宋" w:hAnsi="仿宋" w:eastAsia="仿宋" w:cs="仿宋"/>
          <w:kern w:val="2"/>
          <w:szCs w:val="24"/>
        </w:rPr>
        <w:t xml:space="preserve">1.5 </w:t>
      </w:r>
      <w:r>
        <w:rPr>
          <w:rFonts w:hint="eastAsia" w:ascii="仿宋" w:hAnsi="仿宋" w:eastAsia="仿宋" w:cs="仿宋"/>
          <w:szCs w:val="24"/>
        </w:rPr>
        <w:t>工期:自合同签订之日起</w:t>
      </w:r>
      <w:r>
        <w:rPr>
          <w:rFonts w:hint="eastAsia" w:ascii="仿宋" w:hAnsi="仿宋" w:eastAsia="仿宋" w:cs="仿宋"/>
          <w:szCs w:val="24"/>
          <w:u w:val="single"/>
        </w:rPr>
        <w:t xml:space="preserve">         </w:t>
      </w:r>
    </w:p>
    <w:p w14:paraId="60D37351">
      <w:pPr>
        <w:pStyle w:val="9"/>
        <w:spacing w:before="20" w:after="20" w:line="560" w:lineRule="exact"/>
        <w:ind w:left="92" w:leftChars="44" w:right="8" w:rightChars="4" w:firstLine="480" w:firstLineChars="200"/>
        <w:rPr>
          <w:rFonts w:ascii="仿宋" w:hAnsi="仿宋" w:eastAsia="仿宋" w:cs="仿宋"/>
          <w:szCs w:val="24"/>
        </w:rPr>
      </w:pPr>
      <w:r>
        <w:rPr>
          <w:rFonts w:hint="eastAsia" w:ascii="仿宋" w:hAnsi="仿宋" w:eastAsia="仿宋" w:cs="仿宋"/>
          <w:szCs w:val="24"/>
        </w:rPr>
        <w:t>开工日期202</w:t>
      </w:r>
      <w:r>
        <w:rPr>
          <w:rFonts w:hint="eastAsia" w:ascii="仿宋" w:hAnsi="仿宋" w:eastAsia="仿宋" w:cs="仿宋"/>
          <w:szCs w:val="24"/>
          <w:lang w:val="en-US" w:eastAsia="zh-CN"/>
        </w:rPr>
        <w:t>5</w:t>
      </w:r>
      <w:r>
        <w:rPr>
          <w:rFonts w:hint="eastAsia" w:ascii="仿宋" w:hAnsi="仿宋" w:eastAsia="仿宋" w:cs="仿宋"/>
          <w:szCs w:val="24"/>
        </w:rPr>
        <w:t>年  月  日（暂定，实际以经发包方书面确认的开工报告日期为准）</w:t>
      </w:r>
    </w:p>
    <w:p w14:paraId="7068568F">
      <w:pPr>
        <w:pStyle w:val="9"/>
        <w:spacing w:before="20" w:after="20" w:line="560" w:lineRule="exact"/>
        <w:ind w:left="92" w:leftChars="44" w:right="8" w:rightChars="4" w:firstLine="480" w:firstLineChars="200"/>
        <w:rPr>
          <w:rFonts w:ascii="仿宋" w:hAnsi="仿宋" w:eastAsia="仿宋" w:cs="仿宋"/>
          <w:szCs w:val="24"/>
        </w:rPr>
      </w:pPr>
      <w:r>
        <w:rPr>
          <w:rFonts w:hint="eastAsia" w:ascii="仿宋" w:hAnsi="仿宋" w:eastAsia="仿宋" w:cs="仿宋"/>
          <w:szCs w:val="24"/>
        </w:rPr>
        <w:t>竣工日期202</w:t>
      </w:r>
      <w:r>
        <w:rPr>
          <w:rFonts w:hint="eastAsia" w:ascii="仿宋" w:hAnsi="仿宋" w:eastAsia="仿宋" w:cs="仿宋"/>
          <w:szCs w:val="24"/>
          <w:lang w:val="en-US" w:eastAsia="zh-CN"/>
        </w:rPr>
        <w:t>5</w:t>
      </w:r>
      <w:r>
        <w:rPr>
          <w:rFonts w:hint="eastAsia" w:ascii="仿宋" w:hAnsi="仿宋" w:eastAsia="仿宋" w:cs="仿宋"/>
          <w:szCs w:val="24"/>
        </w:rPr>
        <w:t>年   月   日；（暂定，实际以经发包方书面确认的竣工报告日期为准）</w:t>
      </w:r>
    </w:p>
    <w:p w14:paraId="3A5D57B3">
      <w:pPr>
        <w:pStyle w:val="9"/>
        <w:spacing w:before="20" w:after="20" w:line="560" w:lineRule="exact"/>
        <w:ind w:left="92" w:leftChars="44" w:right="8" w:rightChars="4" w:firstLine="480" w:firstLineChars="200"/>
        <w:rPr>
          <w:rFonts w:ascii="仿宋" w:hAnsi="仿宋" w:eastAsia="仿宋" w:cs="仿宋"/>
          <w:szCs w:val="24"/>
        </w:rPr>
      </w:pPr>
      <w:r>
        <w:rPr>
          <w:rFonts w:hint="eastAsia" w:ascii="仿宋" w:hAnsi="仿宋" w:eastAsia="仿宋" w:cs="仿宋"/>
          <w:szCs w:val="24"/>
        </w:rPr>
        <w:t>工期总日历天数与根据前述计划开竣工日期计算的工期天数不一致的，以工期总日历天数为准。</w:t>
      </w:r>
    </w:p>
    <w:p w14:paraId="0F8C8D59">
      <w:pPr>
        <w:pStyle w:val="9"/>
        <w:spacing w:before="20" w:after="20" w:line="560" w:lineRule="exact"/>
        <w:ind w:left="92" w:leftChars="44" w:right="8" w:rightChars="4" w:firstLine="480" w:firstLineChars="200"/>
        <w:rPr>
          <w:rFonts w:ascii="仿宋" w:hAnsi="仿宋" w:eastAsia="仿宋" w:cs="仿宋"/>
          <w:szCs w:val="24"/>
        </w:rPr>
      </w:pPr>
      <w:r>
        <w:rPr>
          <w:rFonts w:hint="eastAsia" w:ascii="仿宋" w:hAnsi="仿宋" w:eastAsia="仿宋" w:cs="仿宋"/>
          <w:szCs w:val="24"/>
        </w:rPr>
        <w:t>1.6合同价款：本工程合同价为（人民币）</w:t>
      </w:r>
      <w:r>
        <w:rPr>
          <w:rFonts w:hint="eastAsia" w:ascii="仿宋" w:hAnsi="仿宋" w:eastAsia="仿宋" w:cs="仿宋"/>
          <w:szCs w:val="24"/>
          <w:u w:val="single"/>
        </w:rPr>
        <w:t xml:space="preserve">          元</w:t>
      </w:r>
      <w:r>
        <w:rPr>
          <w:rFonts w:hint="eastAsia" w:ascii="仿宋" w:hAnsi="仿宋" w:eastAsia="仿宋" w:cs="仿宋"/>
          <w:szCs w:val="24"/>
        </w:rPr>
        <w:t>，金额大写：（人民币）</w:t>
      </w:r>
      <w:r>
        <w:rPr>
          <w:rFonts w:hint="eastAsia" w:ascii="仿宋" w:hAnsi="仿宋" w:eastAsia="仿宋" w:cs="仿宋"/>
          <w:szCs w:val="24"/>
          <w:u w:val="single"/>
        </w:rPr>
        <w:t xml:space="preserve">             </w:t>
      </w:r>
      <w:r>
        <w:rPr>
          <w:rFonts w:hint="eastAsia" w:ascii="仿宋" w:hAnsi="仿宋" w:eastAsia="仿宋" w:cs="仿宋"/>
          <w:szCs w:val="24"/>
        </w:rPr>
        <w:t>。（含税）若该价格与决算评审评审不符，以决算评审为准。</w:t>
      </w:r>
    </w:p>
    <w:p w14:paraId="6559DEFD">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第2条 甲方工作</w:t>
      </w:r>
    </w:p>
    <w:p w14:paraId="482D26E0">
      <w:pPr>
        <w:pStyle w:val="9"/>
        <w:spacing w:before="20" w:after="20" w:line="560" w:lineRule="exact"/>
        <w:ind w:left="0" w:right="8" w:rightChars="4" w:firstLine="480" w:firstLineChars="200"/>
        <w:rPr>
          <w:rFonts w:ascii="仿宋" w:hAnsi="仿宋" w:eastAsia="仿宋" w:cs="仿宋"/>
          <w:szCs w:val="24"/>
        </w:rPr>
      </w:pPr>
      <w:r>
        <w:rPr>
          <w:rFonts w:hint="eastAsia" w:ascii="仿宋" w:hAnsi="仿宋" w:eastAsia="仿宋" w:cs="仿宋"/>
          <w:szCs w:val="24"/>
        </w:rPr>
        <w:t>2.1 开工前天，为乙方入场施工创造条件。提供施工所需的场地，清除施工场地内一切影响乙方施工的障碍，以不影响施工为原则并向乙方进行技术交底。</w:t>
      </w:r>
    </w:p>
    <w:p w14:paraId="0F933EBF">
      <w:pPr>
        <w:pStyle w:val="9"/>
        <w:spacing w:before="20" w:after="20" w:line="560" w:lineRule="exact"/>
        <w:ind w:left="0" w:right="8" w:rightChars="4" w:firstLine="480" w:firstLineChars="200"/>
        <w:rPr>
          <w:rFonts w:ascii="仿宋" w:hAnsi="仿宋" w:eastAsia="仿宋" w:cs="仿宋"/>
          <w:szCs w:val="24"/>
        </w:rPr>
      </w:pPr>
      <w:r>
        <w:rPr>
          <w:rFonts w:hint="eastAsia" w:ascii="仿宋" w:hAnsi="仿宋" w:eastAsia="仿宋" w:cs="仿宋"/>
          <w:szCs w:val="24"/>
        </w:rPr>
        <w:t>2.2 向乙方提供施工所需的水源、电源等设施，施工期间水费、电费由甲方负责。</w:t>
      </w:r>
    </w:p>
    <w:p w14:paraId="08DE3BD5">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2.3 协助乙方办理施工所涉及的各种申请、批件等手续，并提供一切便利条件。</w:t>
      </w:r>
    </w:p>
    <w:p w14:paraId="500CCDF5">
      <w:pPr>
        <w:pStyle w:val="9"/>
        <w:spacing w:before="20" w:after="20" w:line="560" w:lineRule="exact"/>
        <w:ind w:left="0" w:right="8" w:rightChars="4" w:firstLine="480" w:firstLineChars="200"/>
        <w:rPr>
          <w:rFonts w:ascii="仿宋" w:hAnsi="仿宋" w:eastAsia="仿宋" w:cs="仿宋"/>
          <w:szCs w:val="24"/>
        </w:rPr>
      </w:pPr>
      <w:r>
        <w:rPr>
          <w:rFonts w:hint="eastAsia" w:ascii="仿宋" w:hAnsi="仿宋" w:eastAsia="仿宋" w:cs="仿宋"/>
          <w:szCs w:val="24"/>
        </w:rPr>
        <w:t>2.4 指派为</w:t>
      </w:r>
      <w:r>
        <w:rPr>
          <w:rFonts w:hint="eastAsia" w:ascii="仿宋" w:hAnsi="仿宋" w:eastAsia="仿宋" w:cs="仿宋"/>
          <w:color w:val="0070C0"/>
          <w:szCs w:val="24"/>
          <w:u w:val="single"/>
        </w:rPr>
        <w:t xml:space="preserve"> </w:t>
      </w:r>
      <w:r>
        <w:rPr>
          <w:rFonts w:hint="eastAsia" w:ascii="仿宋" w:hAnsi="仿宋" w:eastAsia="仿宋" w:cs="仿宋"/>
          <w:szCs w:val="24"/>
          <w:u w:val="single"/>
        </w:rPr>
        <w:t xml:space="preserve">     </w:t>
      </w:r>
      <w:r>
        <w:rPr>
          <w:rFonts w:hint="eastAsia" w:ascii="仿宋" w:hAnsi="仿宋" w:eastAsia="仿宋" w:cs="仿宋"/>
          <w:szCs w:val="24"/>
        </w:rPr>
        <w:t>甲方驻工地代表，负责合同履行。对工程质量、进度进行监督，负责材料进场和竣工验收，办理验收、变更、登记手续和其他事宜。</w:t>
      </w:r>
    </w:p>
    <w:p w14:paraId="49BE6C99">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2.5如确实需要拆改原建筑物结构或设备管线，需经客户书面认可并负责到有关部门办理相应审批手续。</w:t>
      </w:r>
    </w:p>
    <w:p w14:paraId="745CF78F">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第3条 乙方工作</w:t>
      </w:r>
    </w:p>
    <w:p w14:paraId="4E0ABBD1">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3.1严格执行施工规范、安全操作规程。防火安全规定、环境保护规定。严格按照工程量清单进行施工，做好各项质量检查纪录。施工过程中，如发生安全事故，由乙方负责承担全部费用及法律责任，与甲方无关。</w:t>
      </w:r>
    </w:p>
    <w:p w14:paraId="34B120EF">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3.2指派</w:t>
      </w:r>
      <w:r>
        <w:rPr>
          <w:rFonts w:hint="eastAsia" w:ascii="仿宋" w:hAnsi="仿宋" w:eastAsia="仿宋" w:cs="仿宋"/>
          <w:sz w:val="24"/>
          <w:szCs w:val="24"/>
          <w:u w:val="single"/>
        </w:rPr>
        <w:t xml:space="preserve">     </w:t>
      </w:r>
      <w:r>
        <w:rPr>
          <w:rFonts w:hint="eastAsia" w:ascii="仿宋" w:hAnsi="仿宋" w:eastAsia="仿宋" w:cs="仿宋"/>
          <w:sz w:val="24"/>
          <w:szCs w:val="24"/>
        </w:rPr>
        <w:t>为乙方项目经理</w:t>
      </w:r>
      <w:r>
        <w:rPr>
          <w:rFonts w:hint="eastAsia" w:ascii="仿宋" w:hAnsi="仿宋" w:eastAsia="仿宋" w:cs="仿宋"/>
          <w:sz w:val="24"/>
          <w:szCs w:val="24"/>
          <w:u w:val="single"/>
        </w:rPr>
        <w:t xml:space="preserve">     </w:t>
      </w:r>
      <w:r>
        <w:rPr>
          <w:rFonts w:hint="eastAsia" w:ascii="仿宋" w:hAnsi="仿宋" w:eastAsia="仿宋" w:cs="仿宋"/>
          <w:sz w:val="24"/>
          <w:szCs w:val="24"/>
        </w:rPr>
        <w:t>为现场负责人，负责合同履行。按要求组织施工，保质、按期完成施工任务，解决由乙方负责的各项事宜。</w:t>
      </w:r>
    </w:p>
    <w:p w14:paraId="0EA3715F">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3.3遵守国家或地方政府及有关部门对施工现场管理的规定，妥善保护好施工现场周围建筑物、设备管线、古树名木不受损坏，做好施工现场保卫和垃圾消纳等工作，并办理相关施工手续。处理好由于施工带来的扰民问题及与周围单位的关系。</w:t>
      </w:r>
    </w:p>
    <w:p w14:paraId="7EF2254F">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3.4施工中未经甲方同意或有关部门批准，不得随意拆改原建筑物结构及各种设备管线。</w:t>
      </w:r>
    </w:p>
    <w:p w14:paraId="1894F6BB">
      <w:pPr>
        <w:pStyle w:val="9"/>
        <w:spacing w:before="0" w:after="0" w:line="560" w:lineRule="exact"/>
        <w:ind w:left="0" w:right="8" w:rightChars="4" w:firstLine="480" w:firstLineChars="200"/>
        <w:jc w:val="both"/>
        <w:rPr>
          <w:rFonts w:ascii="仿宋" w:hAnsi="仿宋" w:eastAsia="仿宋" w:cs="仿宋"/>
          <w:szCs w:val="24"/>
        </w:rPr>
      </w:pPr>
      <w:r>
        <w:rPr>
          <w:rFonts w:hint="eastAsia" w:ascii="仿宋" w:hAnsi="仿宋" w:eastAsia="仿宋" w:cs="仿宋"/>
          <w:szCs w:val="24"/>
        </w:rPr>
        <w:t>3.5保证施工现场的整洁，每项工程完工后负责清扫施工现场，施工垃圾集中到甲方指定地点。</w:t>
      </w:r>
    </w:p>
    <w:p w14:paraId="0C9FAB69">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第4条  关于工期的约定</w:t>
      </w:r>
    </w:p>
    <w:p w14:paraId="1CEE391E">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4.1甲方要求比合同约定的工期提前竣工时，应征得乙方同意，并支付乙方因赶工采取的措施费用。</w:t>
      </w:r>
    </w:p>
    <w:p w14:paraId="6589C1A6">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4.2因甲方未按约定完成工作，影响工期，工期顺延。</w:t>
      </w:r>
    </w:p>
    <w:p w14:paraId="07255C17">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4.3因可归咎于乙方的责任，导致该工程不能按期开工或中途无故停工，影响工期，工期不顺延，乙方应承担因未能按期完成工作而产生的全部后果。</w:t>
      </w:r>
    </w:p>
    <w:p w14:paraId="3FFD2FC7">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4.4因设计变更或非乙方原因造成的停电、停水、停气及不可抗力因素影响，导致停工，工期相应顺延。</w:t>
      </w:r>
    </w:p>
    <w:p w14:paraId="1B9605AB">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 xml:space="preserve">第5条  工程变更 </w:t>
      </w:r>
    </w:p>
    <w:p w14:paraId="6363B77B">
      <w:pPr>
        <w:pStyle w:val="9"/>
        <w:spacing w:before="20" w:after="20" w:line="560" w:lineRule="exact"/>
        <w:ind w:left="92" w:leftChars="44" w:right="8" w:rightChars="4" w:firstLine="480" w:firstLineChars="200"/>
        <w:rPr>
          <w:rFonts w:ascii="仿宋" w:hAnsi="仿宋" w:eastAsia="仿宋" w:cs="仿宋"/>
          <w:szCs w:val="24"/>
        </w:rPr>
      </w:pPr>
      <w:r>
        <w:rPr>
          <w:rFonts w:hint="eastAsia" w:ascii="仿宋" w:hAnsi="仿宋" w:eastAsia="仿宋" w:cs="仿宋"/>
          <w:szCs w:val="24"/>
        </w:rPr>
        <w:t>5.1 合同签订后，甲乙方中一方单方面要求解除合同，须按合同额的百分之五赔付对方违约金。</w:t>
      </w:r>
    </w:p>
    <w:p w14:paraId="4A3E8CA5">
      <w:pPr>
        <w:pStyle w:val="9"/>
        <w:spacing w:before="20" w:after="20" w:line="560" w:lineRule="exact"/>
        <w:ind w:left="92" w:leftChars="44" w:right="8" w:rightChars="4" w:firstLine="480" w:firstLineChars="200"/>
        <w:rPr>
          <w:rFonts w:ascii="仿宋" w:hAnsi="仿宋" w:eastAsia="仿宋" w:cs="仿宋"/>
          <w:szCs w:val="24"/>
        </w:rPr>
      </w:pPr>
      <w:r>
        <w:rPr>
          <w:rFonts w:hint="eastAsia" w:ascii="仿宋" w:hAnsi="仿宋" w:eastAsia="仿宋" w:cs="仿宋"/>
          <w:szCs w:val="24"/>
        </w:rPr>
        <w:t>5.2工程项目或施工方式如需变更，双方应协商一致，合同履行中的各项协商事宜、项目变更等均须由乙方与甲方共同商定并签订补充协议，补充协议为本合同的一部分。发生变更后，乙方按甲方代表的要求，进行下列对工程影响的变更：</w:t>
      </w:r>
    </w:p>
    <w:p w14:paraId="6454ED94">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（1）更改有关工程的性质、质量、规格；</w:t>
      </w:r>
    </w:p>
    <w:p w14:paraId="6C194108">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（2）更改有关部分的标高、基线、位置和尺寸；</w:t>
      </w:r>
    </w:p>
    <w:p w14:paraId="093F60B5">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（3）更改已设计好的内容；</w:t>
      </w:r>
    </w:p>
    <w:p w14:paraId="5C35E6B2">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（4）改变有关工程施工时间和顺序。</w:t>
      </w:r>
    </w:p>
    <w:p w14:paraId="75E66D12">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（5）合同预算清单项目外增减按预算清单单价执行，未见项目由乙方按市场报价，甲方审核，审核后计入结算总价。</w:t>
      </w:r>
    </w:p>
    <w:p w14:paraId="4AC2AEEC">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第6条 关于工程质量及验收的约定</w:t>
      </w:r>
    </w:p>
    <w:p w14:paraId="0A207322">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6.1本工程以作法说明、设计变更和《建筑装饰装修工程质量验收规范》、《机电工程施工质量验收统一标准》等国家制订的施工及验收规范为质量评定验收标准。</w:t>
      </w:r>
    </w:p>
    <w:p w14:paraId="1AEF4E6D">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6.2甲、乙双方应及时办理隐蔽工程和中间工程的检查与验收手续。甲方不按时参加隐蔽工程和中间工程验收，乙方可自行验收，甲方应予承认。若甲方要求复验时，乙方应按要求办理复验。若复验合格，甲方应承担复验费用，由此造成停工，工期顺延；若复验不合格，其复验及返工费用由乙方承担，但工期也予顺延。</w:t>
      </w:r>
    </w:p>
    <w:p w14:paraId="2D1BE754">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6.3由于可归咎于乙方原因造成质量事故及损害，其返工费用及赔偿由乙方承担，工期不顺延。</w:t>
      </w:r>
    </w:p>
    <w:p w14:paraId="381B22C5">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 xml:space="preserve">6.4工程竣工后，乙方应通知甲方验收，甲方自接到验收通知 </w:t>
      </w:r>
      <w:r>
        <w:rPr>
          <w:rFonts w:hint="eastAsia" w:ascii="仿宋" w:hAnsi="仿宋" w:eastAsia="仿宋" w:cs="仿宋"/>
          <w:sz w:val="24"/>
          <w:szCs w:val="24"/>
          <w:u w:val="single"/>
        </w:rPr>
        <w:t>5</w:t>
      </w:r>
      <w:r>
        <w:rPr>
          <w:rFonts w:hint="eastAsia" w:ascii="仿宋" w:hAnsi="仿宋" w:eastAsia="仿宋" w:cs="仿宋"/>
          <w:sz w:val="24"/>
          <w:szCs w:val="24"/>
        </w:rPr>
        <w:t>日内组织验收，并办理验收、移交手续。如甲方在规定时间内未能组织验收，需及时通知乙方，另定验收日期。但甲方应承认竣工日期，并承担乙方的看管费用和相关费用。</w:t>
      </w:r>
    </w:p>
    <w:p w14:paraId="5FE512F2">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第7条 关于工程价款及结算的约定</w:t>
      </w:r>
    </w:p>
    <w:p w14:paraId="5EBA2AFD">
      <w:pPr>
        <w:adjustRightInd w:val="0"/>
        <w:snapToGrid w:val="0"/>
        <w:spacing w:line="560" w:lineRule="exact"/>
        <w:ind w:firstLine="480" w:firstLineChars="200"/>
        <w:rPr>
          <w:rFonts w:hint="default" w:ascii="仿宋" w:hAnsi="仿宋" w:eastAsia="仿宋" w:cs="仿宋"/>
          <w:color w:val="000000" w:themeColor="text1"/>
          <w:sz w:val="24"/>
          <w:szCs w:val="24"/>
          <w:u w:val="single"/>
          <w:lang w:val="en-US" w:eastAsia="zh-CN"/>
          <w14:textFill>
            <w14:solidFill>
              <w14:schemeClr w14:val="tx1"/>
            </w14:solidFill>
          </w14:textFill>
        </w:rPr>
      </w:pP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p>
    <w:p w14:paraId="14384EF3">
      <w:pPr>
        <w:adjustRightInd w:val="0"/>
        <w:snapToGrid w:val="0"/>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7.3发包方每次付款前，由承包方出具真实、合法、有效且符合发包方财务要求的、与待付支付款项等额税率的增值税专用发票。若承包</w:t>
      </w:r>
      <w:bookmarkStart w:id="0" w:name="_GoBack"/>
      <w:bookmarkEnd w:id="0"/>
      <w:r>
        <w:rPr>
          <w:rFonts w:hint="eastAsia" w:ascii="仿宋" w:hAnsi="仿宋" w:eastAsia="仿宋" w:cs="仿宋"/>
          <w:sz w:val="24"/>
          <w:szCs w:val="24"/>
        </w:rPr>
        <w:t>方怠于履行以上开票义务或涉嫌开具虚假发票的，发包方可拒绝支付相应款项，且不视为违约。承包方不得因此停止履行或不完全履行合同。若承包方据此停止履行或不完全履行合同给发包方造成损失的，承包方须赔偿承包方因此遭受的全部损失（包括实际损失和预期利益损失）。发包方有权拒绝向除本合同约定的承包方指定收款账户外的任何账户付款。承包方所提供的发票票面信息必须完整、准确并加盖承包方发票专用章。</w:t>
      </w:r>
    </w:p>
    <w:p w14:paraId="4D8931BF">
      <w:pPr>
        <w:adjustRightInd w:val="0"/>
        <w:snapToGrid w:val="0"/>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承包方指定收款账户：</w:t>
      </w:r>
    </w:p>
    <w:p w14:paraId="27B60D78">
      <w:pPr>
        <w:adjustRightInd w:val="0"/>
        <w:snapToGrid w:val="0"/>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 xml:space="preserve">名称： </w:t>
      </w:r>
    </w:p>
    <w:p w14:paraId="31DBB4D5">
      <w:pPr>
        <w:adjustRightInd w:val="0"/>
        <w:snapToGrid w:val="0"/>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w:t>
      </w:r>
    </w:p>
    <w:p w14:paraId="1CE67321">
      <w:pPr>
        <w:adjustRightInd w:val="0"/>
        <w:snapToGrid w:val="0"/>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账号：</w:t>
      </w:r>
    </w:p>
    <w:p w14:paraId="0DDB33C8">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第8条 关于材料供应的约定</w:t>
      </w:r>
    </w:p>
    <w:p w14:paraId="268C517E">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8.1乙方负责采购的材料、设备，且均应为符合国家标准和设计要求的合格产品，并因按时供应到现场。</w:t>
      </w:r>
    </w:p>
    <w:p w14:paraId="34A146E1">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第9条  有关安全生产和防火的约定</w:t>
      </w:r>
    </w:p>
    <w:p w14:paraId="0FCADE40">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9.1乙方在施工期间应严格遵守包括但不限于《建筑安装工程安全技术规程》、《建筑安装工人安全操作规程》、《中华人民共和国消防条例》和其它相关的法规、规范。</w:t>
      </w:r>
    </w:p>
    <w:p w14:paraId="516212A7">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9.2由于乙方在施工生产过程中违反有关安全操作规程、消防条例，导致发生安全或火灾事故，乙方应承担由此引发的一切经济损失。</w:t>
      </w:r>
    </w:p>
    <w:p w14:paraId="4FCDD4D2">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第10条 工程停建或缓建</w:t>
      </w:r>
    </w:p>
    <w:p w14:paraId="0FD3DEA3">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10.1由于不可抗力及其它甲乙双方之外原因导致工程停建或缓建，使合同不能继续履行，乙方应妥善做好已完工程和已购材料、设备的保护和移交工作，按甲方要求将自有机构设备和人员撤出施工现场。</w:t>
      </w:r>
    </w:p>
    <w:p w14:paraId="234523F2">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10.2 甲方应为乙方撤出提供必要条件，支付以上的费用，并按合同规定支付已完工程价款。</w:t>
      </w:r>
    </w:p>
    <w:p w14:paraId="506F8269">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10.3已经定货的材料、设备由定货方负责退货，不能退还的货款和退货发生的费用，由甲方承担。</w:t>
      </w:r>
    </w:p>
    <w:p w14:paraId="7E855B52">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10.4因甲方或乙方其他情况的需延期开工、停建或缓建由双方协商确定。</w:t>
      </w:r>
    </w:p>
    <w:p w14:paraId="6F3A7046">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第11条 保修</w:t>
      </w:r>
    </w:p>
    <w:p w14:paraId="0FB5EC84">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11.1本合同保修期为项目验收合格之日算起，为期</w:t>
      </w:r>
      <w:r>
        <w:rPr>
          <w:rFonts w:hint="eastAsia" w:ascii="仿宋" w:hAnsi="仿宋" w:eastAsia="仿宋" w:cs="仿宋"/>
          <w:sz w:val="24"/>
          <w:szCs w:val="24"/>
          <w:u w:val="single"/>
        </w:rPr>
        <w:t>2年</w:t>
      </w:r>
      <w:r>
        <w:rPr>
          <w:rFonts w:hint="eastAsia" w:ascii="仿宋" w:hAnsi="仿宋" w:eastAsia="仿宋" w:cs="仿宋"/>
          <w:sz w:val="24"/>
          <w:szCs w:val="24"/>
        </w:rPr>
        <w:t>。保修范围为本合同中规定的乙方承包的项目及内容。</w:t>
      </w:r>
    </w:p>
    <w:p w14:paraId="707E03E0">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11.2保修期内，乙方应在接到修理通知之后1天内响应，三天内派人修理，否则甲方可委托其他单位或人员修理。因乙方原因造成返修的费用，不足部分，由乙方支付。因乙方外原因造成返修费用，由甲方承担。</w:t>
      </w:r>
    </w:p>
    <w:p w14:paraId="44CCE46A">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11.3因不可抗力，人为损坏及使用期自然折旧等原因，不包含在保修范围内。</w:t>
      </w:r>
    </w:p>
    <w:p w14:paraId="5F112214">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第12条 违约责任</w:t>
      </w:r>
    </w:p>
    <w:p w14:paraId="43795D81">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12.1承包方不得将本合同的全部或部分以任何形式转分给第三人，否则发包方有权解除合同并要求承包方承担本合同总额10%的违约金。</w:t>
      </w:r>
    </w:p>
    <w:p w14:paraId="020A503B">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12.2承包方逾期完工的，每逾期一日，发包方有权按日以本合同总额的【1%】收取违约金。逾期达到【15】日（含）的，发包方有权单方解除合同，并要求承包方承担本合同总额【20%】的违约金。以上款项发包方有权在应付款项中直接扣除。</w:t>
      </w:r>
    </w:p>
    <w:p w14:paraId="4D494A1D">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12.3因可归咎于承包人原因造成发包人、承包人以及其他方人身、财产损失的，由承包人负责解决并承担相应法律责任。同时根据安全生产事故的严重程度，发包人有权单方解除合同，解除合同的通知送达承包人后合同即解除。同时，承包人还应按照以下标准向发包人支付违约金。</w:t>
      </w:r>
    </w:p>
    <w:p w14:paraId="56631A23">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12.4工程质量不合格的，承包人应当立即采取补救措施，直至达到合同约定的质量标准，由此产生的费用和工期延误违约责任均由承包人承担，且每不合格一次，处以本合同总金额5%的违约金，工期不予顺延，所造成的损失由承包人承担；如累计达到三次将被视为实质性违约，发包人有权根据损失的大小，扣除部分直至全部质保金，并有权解除合同。承包人应赔偿发包人本合同总金额10%的违约金，该违约金不足以弥补发包人损失的，以实际损失为准。</w:t>
      </w:r>
    </w:p>
    <w:p w14:paraId="371A75DE">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12.5工程经竣工验收不合格的，在承包人完成整改后，应当重新组织竣工验收；经重新组织验收仍不合格的，发包人有权拒绝接收不合格的工程部分，且承包人应当无条件拆除并重新施工直至合格为止；承包人对不合格的工程部分不拆除、不重新施工的，发包人有权委托第三方解决，由此产生的包括拆除费、垃圾清运费、重新施工费等一切费用均由承包人承担。此外发包人有权单方解除合同，解除合同的通知送达承包人后合同即解除。同时，发包人有权要求承包人返还不合格工程部分所对应的已经支付的工程款项，并由承包人按照工程价款的15%向发包人支付违约金。</w:t>
      </w:r>
    </w:p>
    <w:p w14:paraId="4E69A502">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12.6承包方承诺并保证在履行本协议及相关工作的过程中，均不违反任何法律法规、不侵犯任何第三人权利、不存在任何权利瑕疵，承包方与第三方发生的任何经济往来和债务纠纷均与发包方无关，否则由承包方自行承担由此造成的全部责任。若因可归咎于承包方或其工作人员原因导致发包方被诉讼、行政处罚时，承包方应负担发包方的所有费用，包含但不限于诉讼费、律师费及可能的和解费、罚款及损害赔偿等，若该等侵权行为造成发包方受到实际损失的，承包方应当赔偿发包方的全部损失(含实际损失和预期利益损失)。</w:t>
      </w:r>
    </w:p>
    <w:p w14:paraId="1421F490">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第13条 合同的终止和解除</w:t>
      </w:r>
    </w:p>
    <w:p w14:paraId="2483E2A0">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13.1本合同期限内，经甲乙双方协商一致可以解除本合同，解除合同须双方签订书面的解除协议，本合同自解除协议生效之日解除。</w:t>
      </w:r>
    </w:p>
    <w:p w14:paraId="7FA48D52">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13.2发生以下情形之一时，发包方有权单方解除本合同，本合同自解除通知到达承包方时解除：</w:t>
      </w:r>
    </w:p>
    <w:p w14:paraId="4F8DD5DB">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（1）承包方工作完成情况不能达到发包方标准，发包方向承包方提出限期整改要求，承包方未进行限期整改或整改后仍然不符合发包方要求的；</w:t>
      </w:r>
    </w:p>
    <w:p w14:paraId="6C4A4E6A">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（2）未经发包方事先书面同意，承包方擅自将本合同项下的全部或部分内容转包、分包或转让或开具虚假发票的；</w:t>
      </w:r>
    </w:p>
    <w:p w14:paraId="220AB3DD">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（3）因可归咎于承包方或承包方工作人员的原因，造成发包方重大损失的，或发生其他事故的，或导致本合同难以继续履行的；</w:t>
      </w:r>
    </w:p>
    <w:p w14:paraId="1EF5DD3F">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（4）承包方发生其他重大违法违约情形。</w:t>
      </w:r>
    </w:p>
    <w:p w14:paraId="246009B9">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第14条 争议或纠纷处理</w:t>
      </w:r>
    </w:p>
    <w:p w14:paraId="1A06FE17">
      <w:pPr>
        <w:spacing w:line="5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14.1本合同在履行期间，双方发生争议时，在不影响工程进度的前提下，双方可采取协商解决或请有关部门进行调解。</w:t>
      </w:r>
    </w:p>
    <w:p w14:paraId="11C3D35C">
      <w:pPr>
        <w:spacing w:line="5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14.2当事人不愿意通过协商、调解解决或者协商调解不成的，本合同在执行中发生的争议由工程所在地人民法院解决。</w:t>
      </w:r>
    </w:p>
    <w:p w14:paraId="79B92D80">
      <w:pPr>
        <w:spacing w:line="5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14.3本合同约定的双方地址适用于双方各类通知、协议等文件以及就合同发生纠纷时相关文件和法律文书的送达地址，同时包括在争议进入仲裁、民事诉讼程序后的一审、二审、再审和执行程序。</w:t>
      </w:r>
    </w:p>
    <w:p w14:paraId="2AE183D7">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第15条 其他约定</w:t>
      </w:r>
    </w:p>
    <w:p w14:paraId="09B5AEC5">
      <w:pPr>
        <w:spacing w:line="560" w:lineRule="exact"/>
        <w:ind w:firstLine="480" w:firstLineChars="200"/>
        <w:rPr>
          <w:rFonts w:ascii="仿宋" w:hAnsi="仿宋" w:eastAsia="仿宋" w:cs="仿宋"/>
          <w:bCs/>
          <w:sz w:val="24"/>
          <w:szCs w:val="24"/>
          <w:u w:val="single"/>
        </w:rPr>
      </w:pPr>
      <w:r>
        <w:rPr>
          <w:rFonts w:hint="eastAsia" w:ascii="仿宋" w:hAnsi="仿宋" w:eastAsia="仿宋" w:cs="仿宋"/>
          <w:sz w:val="24"/>
          <w:szCs w:val="24"/>
        </w:rPr>
        <w:t>15.1</w:t>
      </w:r>
      <w:r>
        <w:rPr>
          <w:rFonts w:hint="eastAsia" w:ascii="仿宋" w:hAnsi="仿宋" w:eastAsia="仿宋" w:cs="仿宋"/>
          <w:bCs/>
          <w:sz w:val="24"/>
          <w:szCs w:val="24"/>
        </w:rPr>
        <w:t>本合同所含施工项目详见工程量清单预算表，清单内未计费部分不含在施工范围内。</w:t>
      </w:r>
    </w:p>
    <w:p w14:paraId="3954C510">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第16条 合同文件及解释顺序</w:t>
      </w:r>
    </w:p>
    <w:p w14:paraId="6218FCCC">
      <w:pPr>
        <w:spacing w:line="560" w:lineRule="exact"/>
        <w:ind w:left="480" w:firstLine="200"/>
        <w:rPr>
          <w:rFonts w:ascii="仿宋" w:hAnsi="仿宋" w:eastAsia="仿宋" w:cs="仿宋"/>
          <w:sz w:val="24"/>
          <w:szCs w:val="24"/>
        </w:rPr>
      </w:pPr>
      <w:r>
        <w:rPr>
          <w:rFonts w:hint="eastAsia" w:ascii="仿宋" w:hAnsi="仿宋" w:eastAsia="仿宋" w:cs="仿宋"/>
          <w:sz w:val="24"/>
          <w:szCs w:val="24"/>
        </w:rPr>
        <w:t>16.1协议条款；</w:t>
      </w:r>
    </w:p>
    <w:p w14:paraId="294D58BE">
      <w:pPr>
        <w:spacing w:line="560" w:lineRule="exact"/>
        <w:ind w:left="480" w:firstLine="200"/>
        <w:rPr>
          <w:rFonts w:ascii="仿宋" w:hAnsi="仿宋" w:eastAsia="仿宋" w:cs="仿宋"/>
          <w:sz w:val="24"/>
          <w:szCs w:val="24"/>
        </w:rPr>
      </w:pPr>
      <w:r>
        <w:rPr>
          <w:rFonts w:hint="eastAsia" w:ascii="仿宋" w:hAnsi="仿宋" w:eastAsia="仿宋" w:cs="仿宋"/>
          <w:sz w:val="24"/>
          <w:szCs w:val="24"/>
        </w:rPr>
        <w:t>16.2工程量清单；</w:t>
      </w:r>
    </w:p>
    <w:p w14:paraId="166441E8">
      <w:pPr>
        <w:spacing w:line="560" w:lineRule="exact"/>
        <w:ind w:left="480" w:firstLine="200"/>
        <w:rPr>
          <w:rFonts w:ascii="仿宋" w:hAnsi="仿宋" w:eastAsia="仿宋" w:cs="仿宋"/>
          <w:sz w:val="24"/>
          <w:szCs w:val="24"/>
        </w:rPr>
      </w:pPr>
      <w:r>
        <w:rPr>
          <w:rFonts w:hint="eastAsia" w:ascii="仿宋" w:hAnsi="仿宋" w:eastAsia="仿宋" w:cs="仿宋"/>
          <w:sz w:val="24"/>
          <w:szCs w:val="24"/>
        </w:rPr>
        <w:t>16.3效果图。</w:t>
      </w:r>
    </w:p>
    <w:p w14:paraId="18B48356">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第17条 附则</w:t>
      </w:r>
    </w:p>
    <w:p w14:paraId="749BA0E1">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17.1本合同正本陆份，双方各执叁份，具有同等法律效力。</w:t>
      </w:r>
    </w:p>
    <w:p w14:paraId="018D7D28">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17.2本合同履行完成后自动终止。</w:t>
      </w:r>
    </w:p>
    <w:p w14:paraId="388B160E">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17.3本合同经双方法定代表人或委托代理人（须持授权委托书）签字并加盖公章或合同专用章后生效。</w:t>
      </w:r>
    </w:p>
    <w:p w14:paraId="27A8983C">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17.4本合同未尽事宜及任何与本合同有关内容、费用的变更等事宜，需由双方另行协商并形成书面补充协议，补充协议与本合同具有同等法律效力。</w:t>
      </w:r>
    </w:p>
    <w:p w14:paraId="501187E4">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17.5为保证服务质量，执行本合同相关的所有通知、函件、及执行细节等，均应通过如下联系人及联系方式进行沟通：</w:t>
      </w:r>
    </w:p>
    <w:p w14:paraId="44EBB2E7">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甲方联系人：</w:t>
      </w:r>
      <w:r>
        <w:rPr>
          <w:rFonts w:hint="eastAsia" w:ascii="仿宋" w:hAnsi="仿宋" w:eastAsia="仿宋" w:cs="仿宋"/>
          <w:sz w:val="24"/>
          <w:szCs w:val="24"/>
          <w:u w:val="single"/>
        </w:rPr>
        <w:t xml:space="preserve">          </w:t>
      </w:r>
      <w:r>
        <w:rPr>
          <w:rFonts w:hint="eastAsia" w:ascii="仿宋" w:hAnsi="仿宋" w:eastAsia="仿宋" w:cs="仿宋"/>
          <w:sz w:val="24"/>
          <w:szCs w:val="24"/>
        </w:rPr>
        <w:t>，联系方式：</w:t>
      </w:r>
      <w:r>
        <w:rPr>
          <w:rFonts w:hint="eastAsia" w:ascii="仿宋" w:hAnsi="仿宋" w:eastAsia="仿宋" w:cs="仿宋"/>
          <w:sz w:val="24"/>
          <w:szCs w:val="24"/>
          <w:u w:val="single"/>
        </w:rPr>
        <w:t xml:space="preserve">                 </w:t>
      </w:r>
    </w:p>
    <w:p w14:paraId="3D536DAC">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乙方联系人：</w:t>
      </w:r>
      <w:r>
        <w:rPr>
          <w:rFonts w:hint="eastAsia" w:ascii="仿宋" w:hAnsi="仿宋" w:eastAsia="仿宋" w:cs="仿宋"/>
          <w:sz w:val="24"/>
          <w:szCs w:val="24"/>
          <w:u w:val="single"/>
        </w:rPr>
        <w:t xml:space="preserve">      </w:t>
      </w:r>
      <w:r>
        <w:rPr>
          <w:rFonts w:hint="eastAsia" w:ascii="仿宋" w:hAnsi="仿宋" w:eastAsia="仿宋" w:cs="仿宋"/>
          <w:sz w:val="24"/>
          <w:szCs w:val="24"/>
        </w:rPr>
        <w:t>，联系方式：</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9F0FB3E">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如任意一方需要变更上述联系人的，应当于变更前3个工作日内通知对方，如因未及时通知对方导致核对迟延的，由迟延通知方承担责任。</w:t>
      </w:r>
    </w:p>
    <w:p w14:paraId="4970D942"/>
    <w:p w14:paraId="55D495EF"/>
    <w:tbl>
      <w:tblPr>
        <w:tblStyle w:val="4"/>
        <w:tblW w:w="10139"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3"/>
        <w:gridCol w:w="3422"/>
        <w:gridCol w:w="3464"/>
      </w:tblGrid>
      <w:tr w14:paraId="6B613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3253" w:type="dxa"/>
          </w:tcPr>
          <w:p w14:paraId="074D2EDD">
            <w:pPr>
              <w:autoSpaceDE w:val="0"/>
              <w:autoSpaceDN w:val="0"/>
              <w:adjustRightInd w:val="0"/>
              <w:spacing w:line="360" w:lineRule="auto"/>
              <w:jc w:val="center"/>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甲  方</w:t>
            </w:r>
          </w:p>
        </w:tc>
        <w:tc>
          <w:tcPr>
            <w:tcW w:w="3422" w:type="dxa"/>
          </w:tcPr>
          <w:p w14:paraId="5B649830">
            <w:pPr>
              <w:autoSpaceDE w:val="0"/>
              <w:autoSpaceDN w:val="0"/>
              <w:adjustRightInd w:val="0"/>
              <w:spacing w:line="360" w:lineRule="auto"/>
              <w:jc w:val="center"/>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乙  方</w:t>
            </w:r>
          </w:p>
        </w:tc>
        <w:tc>
          <w:tcPr>
            <w:tcW w:w="3464" w:type="dxa"/>
          </w:tcPr>
          <w:p w14:paraId="0EAFADBC">
            <w:pPr>
              <w:autoSpaceDE w:val="0"/>
              <w:autoSpaceDN w:val="0"/>
              <w:adjustRightInd w:val="0"/>
              <w:spacing w:line="360" w:lineRule="auto"/>
              <w:jc w:val="center"/>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见 证 方</w:t>
            </w:r>
          </w:p>
        </w:tc>
      </w:tr>
      <w:tr w14:paraId="1289E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3253" w:type="dxa"/>
            <w:vAlign w:val="center"/>
          </w:tcPr>
          <w:p w14:paraId="277BA71A">
            <w:pPr>
              <w:autoSpaceDE w:val="0"/>
              <w:autoSpaceDN w:val="0"/>
              <w:adjustRightInd w:val="0"/>
              <w:spacing w:line="360" w:lineRule="auto"/>
              <w:ind w:firstLine="240" w:firstLineChars="100"/>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西安市钟鼓楼保管所</w:t>
            </w:r>
          </w:p>
          <w:p w14:paraId="33397B91">
            <w:pPr>
              <w:autoSpaceDE w:val="0"/>
              <w:autoSpaceDN w:val="0"/>
              <w:adjustRightInd w:val="0"/>
              <w:spacing w:line="360" w:lineRule="auto"/>
              <w:ind w:firstLine="600" w:firstLineChars="250"/>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（盖章）</w:t>
            </w:r>
          </w:p>
        </w:tc>
        <w:tc>
          <w:tcPr>
            <w:tcW w:w="3422" w:type="dxa"/>
            <w:vAlign w:val="center"/>
          </w:tcPr>
          <w:p w14:paraId="39C63BBE">
            <w:pPr>
              <w:autoSpaceDE w:val="0"/>
              <w:autoSpaceDN w:val="0"/>
              <w:adjustRightInd w:val="0"/>
              <w:spacing w:line="360" w:lineRule="auto"/>
              <w:ind w:firstLine="240" w:firstLineChars="100"/>
              <w:rPr>
                <w:rFonts w:ascii="仿宋_GB2312" w:hAnsi="宋体" w:eastAsia="仿宋_GB2312"/>
                <w:spacing w:val="-20"/>
                <w:kern w:val="0"/>
                <w:sz w:val="28"/>
              </w:rPr>
            </w:pPr>
          </w:p>
          <w:p w14:paraId="4860380F">
            <w:pPr>
              <w:autoSpaceDE w:val="0"/>
              <w:autoSpaceDN w:val="0"/>
              <w:adjustRightInd w:val="0"/>
              <w:spacing w:line="360" w:lineRule="auto"/>
              <w:ind w:firstLine="960" w:firstLineChars="400"/>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（盖章）</w:t>
            </w:r>
          </w:p>
        </w:tc>
        <w:tc>
          <w:tcPr>
            <w:tcW w:w="3464" w:type="dxa"/>
            <w:vAlign w:val="center"/>
          </w:tcPr>
          <w:p w14:paraId="228407A8">
            <w:pPr>
              <w:autoSpaceDE w:val="0"/>
              <w:autoSpaceDN w:val="0"/>
              <w:adjustRightInd w:val="0"/>
              <w:spacing w:line="360" w:lineRule="auto"/>
              <w:ind w:firstLine="1200" w:firstLineChars="500"/>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（盖章）</w:t>
            </w:r>
          </w:p>
        </w:tc>
      </w:tr>
      <w:tr w14:paraId="6D7B8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3253" w:type="dxa"/>
          </w:tcPr>
          <w:p w14:paraId="6661A499">
            <w:pPr>
              <w:autoSpaceDE w:val="0"/>
              <w:autoSpaceDN w:val="0"/>
              <w:adjustRightInd w:val="0"/>
              <w:spacing w:line="360" w:lineRule="auto"/>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地址：西安市北大街2号</w:t>
            </w:r>
          </w:p>
        </w:tc>
        <w:tc>
          <w:tcPr>
            <w:tcW w:w="3422" w:type="dxa"/>
          </w:tcPr>
          <w:p w14:paraId="01D47ECE">
            <w:pPr>
              <w:autoSpaceDE w:val="0"/>
              <w:autoSpaceDN w:val="0"/>
              <w:adjustRightInd w:val="0"/>
              <w:spacing w:line="360" w:lineRule="auto"/>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地址：</w:t>
            </w:r>
          </w:p>
        </w:tc>
        <w:tc>
          <w:tcPr>
            <w:tcW w:w="3464" w:type="dxa"/>
            <w:tcBorders>
              <w:top w:val="single" w:color="auto" w:sz="4" w:space="0"/>
              <w:left w:val="single" w:color="auto" w:sz="4" w:space="0"/>
              <w:bottom w:val="single" w:color="auto" w:sz="4" w:space="0"/>
              <w:right w:val="single" w:color="auto" w:sz="4" w:space="0"/>
            </w:tcBorders>
            <w:vAlign w:val="center"/>
          </w:tcPr>
          <w:p w14:paraId="5094E425">
            <w:pPr>
              <w:autoSpaceDE w:val="0"/>
              <w:autoSpaceDN w:val="0"/>
              <w:adjustRightInd w:val="0"/>
              <w:spacing w:line="360" w:lineRule="auto"/>
              <w:rPr>
                <w:rFonts w:ascii="仿宋_GB2312" w:hAnsi="宋体" w:eastAsia="仿宋_GB2312"/>
                <w:spacing w:val="-20"/>
                <w:kern w:val="0"/>
                <w:sz w:val="28"/>
              </w:rPr>
            </w:pPr>
            <w:r>
              <w:rPr>
                <w:rFonts w:hint="eastAsia" w:ascii="仿宋_GB2312" w:hAnsi="宋体" w:eastAsia="仿宋_GB2312"/>
                <w:color w:val="000000"/>
                <w:spacing w:val="-20"/>
                <w:kern w:val="0"/>
                <w:sz w:val="28"/>
              </w:rPr>
              <w:t>地址：</w:t>
            </w:r>
          </w:p>
        </w:tc>
      </w:tr>
      <w:tr w14:paraId="7B435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trPr>
        <w:tc>
          <w:tcPr>
            <w:tcW w:w="3253" w:type="dxa"/>
          </w:tcPr>
          <w:p w14:paraId="5AB43700">
            <w:pPr>
              <w:autoSpaceDE w:val="0"/>
              <w:autoSpaceDN w:val="0"/>
              <w:adjustRightInd w:val="0"/>
              <w:spacing w:line="360" w:lineRule="auto"/>
              <w:jc w:val="left"/>
              <w:rPr>
                <w:rFonts w:ascii="仿宋_GB2312" w:hAnsi="宋体" w:eastAsia="仿宋_GB2312"/>
                <w:color w:val="0070C0"/>
                <w:spacing w:val="-20"/>
                <w:kern w:val="0"/>
                <w:sz w:val="28"/>
              </w:rPr>
            </w:pPr>
            <w:r>
              <w:rPr>
                <w:rFonts w:hint="eastAsia" w:ascii="仿宋_GB2312" w:hAnsi="宋体" w:eastAsia="仿宋_GB2312"/>
                <w:color w:val="0070C0"/>
                <w:spacing w:val="-20"/>
                <w:kern w:val="0"/>
                <w:sz w:val="28"/>
              </w:rPr>
              <w:t xml:space="preserve">法定代表人： </w:t>
            </w:r>
          </w:p>
          <w:p w14:paraId="787C44B1">
            <w:pPr>
              <w:autoSpaceDE w:val="0"/>
              <w:autoSpaceDN w:val="0"/>
              <w:adjustRightInd w:val="0"/>
              <w:spacing w:line="360" w:lineRule="auto"/>
              <w:jc w:val="left"/>
              <w:rPr>
                <w:rFonts w:ascii="仿宋_GB2312" w:hAnsi="宋体" w:eastAsia="仿宋_GB2312"/>
                <w:color w:val="0070C0"/>
                <w:spacing w:val="-20"/>
                <w:kern w:val="0"/>
                <w:sz w:val="28"/>
              </w:rPr>
            </w:pPr>
          </w:p>
          <w:p w14:paraId="011B0649">
            <w:pPr>
              <w:autoSpaceDE w:val="0"/>
              <w:autoSpaceDN w:val="0"/>
              <w:adjustRightInd w:val="0"/>
              <w:spacing w:line="360" w:lineRule="auto"/>
              <w:jc w:val="left"/>
              <w:rPr>
                <w:rFonts w:ascii="仿宋_GB2312" w:hAnsi="宋体" w:eastAsia="仿宋_GB2312"/>
                <w:color w:val="0070C0"/>
                <w:spacing w:val="-20"/>
                <w:kern w:val="0"/>
                <w:sz w:val="28"/>
              </w:rPr>
            </w:pPr>
            <w:r>
              <w:rPr>
                <w:rFonts w:hint="eastAsia" w:ascii="仿宋_GB2312" w:hAnsi="宋体" w:eastAsia="仿宋_GB2312"/>
                <w:color w:val="0070C0"/>
                <w:spacing w:val="-20"/>
                <w:kern w:val="0"/>
                <w:sz w:val="28"/>
              </w:rPr>
              <w:t>委托代理人：</w:t>
            </w:r>
          </w:p>
        </w:tc>
        <w:tc>
          <w:tcPr>
            <w:tcW w:w="3422" w:type="dxa"/>
          </w:tcPr>
          <w:p w14:paraId="78561B3F">
            <w:pPr>
              <w:autoSpaceDE w:val="0"/>
              <w:autoSpaceDN w:val="0"/>
              <w:adjustRightInd w:val="0"/>
              <w:spacing w:line="360" w:lineRule="auto"/>
              <w:jc w:val="left"/>
              <w:rPr>
                <w:rFonts w:ascii="仿宋_GB2312" w:hAnsi="宋体" w:eastAsia="仿宋_GB2312"/>
                <w:color w:val="0070C0"/>
                <w:spacing w:val="-20"/>
                <w:kern w:val="0"/>
                <w:sz w:val="28"/>
              </w:rPr>
            </w:pPr>
            <w:r>
              <w:rPr>
                <w:rFonts w:hint="eastAsia" w:ascii="仿宋_GB2312" w:hAnsi="宋体" w:eastAsia="仿宋_GB2312"/>
                <w:color w:val="0070C0"/>
                <w:spacing w:val="-20"/>
                <w:kern w:val="0"/>
                <w:sz w:val="28"/>
              </w:rPr>
              <w:t>法定代表人：</w:t>
            </w:r>
          </w:p>
          <w:p w14:paraId="6743B71A">
            <w:pPr>
              <w:autoSpaceDE w:val="0"/>
              <w:autoSpaceDN w:val="0"/>
              <w:adjustRightInd w:val="0"/>
              <w:spacing w:line="360" w:lineRule="auto"/>
              <w:jc w:val="left"/>
              <w:rPr>
                <w:rFonts w:ascii="仿宋_GB2312" w:hAnsi="宋体" w:eastAsia="仿宋_GB2312"/>
                <w:color w:val="0070C0"/>
                <w:spacing w:val="-20"/>
                <w:kern w:val="0"/>
                <w:sz w:val="28"/>
              </w:rPr>
            </w:pPr>
          </w:p>
          <w:p w14:paraId="2B723727">
            <w:pPr>
              <w:autoSpaceDE w:val="0"/>
              <w:autoSpaceDN w:val="0"/>
              <w:adjustRightInd w:val="0"/>
              <w:spacing w:line="360" w:lineRule="auto"/>
              <w:jc w:val="left"/>
              <w:rPr>
                <w:rFonts w:ascii="仿宋_GB2312" w:hAnsi="宋体" w:eastAsia="仿宋_GB2312"/>
                <w:color w:val="0070C0"/>
                <w:spacing w:val="-20"/>
                <w:kern w:val="0"/>
                <w:sz w:val="28"/>
              </w:rPr>
            </w:pPr>
            <w:r>
              <w:rPr>
                <w:rFonts w:hint="eastAsia" w:ascii="仿宋_GB2312" w:hAnsi="宋体" w:eastAsia="仿宋_GB2312"/>
                <w:color w:val="0070C0"/>
                <w:spacing w:val="-20"/>
                <w:kern w:val="0"/>
                <w:sz w:val="28"/>
              </w:rPr>
              <w:t>委托代理人：</w:t>
            </w:r>
          </w:p>
        </w:tc>
        <w:tc>
          <w:tcPr>
            <w:tcW w:w="3464" w:type="dxa"/>
            <w:tcBorders>
              <w:top w:val="single" w:color="auto" w:sz="4" w:space="0"/>
              <w:left w:val="single" w:color="auto" w:sz="4" w:space="0"/>
              <w:bottom w:val="single" w:color="auto" w:sz="4" w:space="0"/>
              <w:right w:val="single" w:color="auto" w:sz="4" w:space="0"/>
            </w:tcBorders>
            <w:vAlign w:val="center"/>
          </w:tcPr>
          <w:p w14:paraId="223B7563">
            <w:pPr>
              <w:autoSpaceDE w:val="0"/>
              <w:autoSpaceDN w:val="0"/>
              <w:adjustRightInd w:val="0"/>
              <w:spacing w:line="360" w:lineRule="auto"/>
              <w:jc w:val="left"/>
              <w:rPr>
                <w:rFonts w:ascii="仿宋_GB2312" w:hAnsi="宋体" w:eastAsia="仿宋_GB2312"/>
                <w:color w:val="0070C0"/>
                <w:spacing w:val="-20"/>
                <w:kern w:val="0"/>
                <w:sz w:val="28"/>
              </w:rPr>
            </w:pPr>
            <w:r>
              <w:rPr>
                <w:rFonts w:hint="eastAsia" w:ascii="仿宋_GB2312" w:hAnsi="宋体" w:eastAsia="仿宋_GB2312"/>
                <w:color w:val="0070C0"/>
                <w:spacing w:val="-20"/>
                <w:kern w:val="0"/>
                <w:sz w:val="28"/>
              </w:rPr>
              <w:t>法定代表人：</w:t>
            </w:r>
          </w:p>
          <w:p w14:paraId="4A8B8D80">
            <w:pPr>
              <w:autoSpaceDE w:val="0"/>
              <w:autoSpaceDN w:val="0"/>
              <w:adjustRightInd w:val="0"/>
              <w:spacing w:line="360" w:lineRule="auto"/>
              <w:jc w:val="left"/>
              <w:rPr>
                <w:rFonts w:ascii="仿宋_GB2312" w:hAnsi="宋体" w:eastAsia="仿宋_GB2312"/>
                <w:color w:val="0070C0"/>
                <w:spacing w:val="-20"/>
                <w:kern w:val="0"/>
                <w:sz w:val="28"/>
              </w:rPr>
            </w:pPr>
          </w:p>
          <w:p w14:paraId="5764F9D3">
            <w:pPr>
              <w:autoSpaceDE w:val="0"/>
              <w:autoSpaceDN w:val="0"/>
              <w:adjustRightInd w:val="0"/>
              <w:spacing w:line="360" w:lineRule="auto"/>
              <w:jc w:val="left"/>
              <w:rPr>
                <w:rFonts w:ascii="仿宋_GB2312" w:hAnsi="宋体" w:eastAsia="仿宋_GB2312"/>
                <w:color w:val="0070C0"/>
                <w:spacing w:val="-20"/>
                <w:kern w:val="0"/>
                <w:sz w:val="28"/>
              </w:rPr>
            </w:pPr>
            <w:r>
              <w:rPr>
                <w:rFonts w:hint="eastAsia" w:ascii="仿宋_GB2312" w:hAnsi="宋体" w:eastAsia="仿宋_GB2312"/>
                <w:color w:val="0070C0"/>
                <w:spacing w:val="-20"/>
                <w:kern w:val="0"/>
                <w:sz w:val="28"/>
              </w:rPr>
              <w:t>委托代理人：</w:t>
            </w:r>
          </w:p>
        </w:tc>
      </w:tr>
      <w:tr w14:paraId="6D2F4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3253" w:type="dxa"/>
          </w:tcPr>
          <w:p w14:paraId="5D12B5B8">
            <w:pPr>
              <w:autoSpaceDE w:val="0"/>
              <w:autoSpaceDN w:val="0"/>
              <w:adjustRightInd w:val="0"/>
              <w:spacing w:line="360" w:lineRule="auto"/>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电话：</w:t>
            </w:r>
          </w:p>
        </w:tc>
        <w:tc>
          <w:tcPr>
            <w:tcW w:w="3422" w:type="dxa"/>
          </w:tcPr>
          <w:p w14:paraId="2C1C0006">
            <w:pPr>
              <w:autoSpaceDE w:val="0"/>
              <w:autoSpaceDN w:val="0"/>
              <w:adjustRightInd w:val="0"/>
              <w:spacing w:line="360" w:lineRule="auto"/>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电话：</w:t>
            </w:r>
          </w:p>
        </w:tc>
        <w:tc>
          <w:tcPr>
            <w:tcW w:w="3464" w:type="dxa"/>
            <w:tcBorders>
              <w:top w:val="single" w:color="auto" w:sz="4" w:space="0"/>
              <w:left w:val="single" w:color="auto" w:sz="4" w:space="0"/>
              <w:bottom w:val="single" w:color="auto" w:sz="4" w:space="0"/>
              <w:right w:val="single" w:color="auto" w:sz="4" w:space="0"/>
            </w:tcBorders>
            <w:vAlign w:val="center"/>
          </w:tcPr>
          <w:p w14:paraId="7C8C049C">
            <w:pPr>
              <w:spacing w:line="340" w:lineRule="exac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电话：</w:t>
            </w:r>
          </w:p>
        </w:tc>
      </w:tr>
      <w:tr w14:paraId="5B0A3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3253" w:type="dxa"/>
          </w:tcPr>
          <w:p w14:paraId="0A4106F1">
            <w:pPr>
              <w:autoSpaceDE w:val="0"/>
              <w:autoSpaceDN w:val="0"/>
              <w:adjustRightInd w:val="0"/>
              <w:spacing w:line="360" w:lineRule="auto"/>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日期：   年   月   日</w:t>
            </w:r>
          </w:p>
        </w:tc>
        <w:tc>
          <w:tcPr>
            <w:tcW w:w="3422" w:type="dxa"/>
          </w:tcPr>
          <w:p w14:paraId="4C301F96">
            <w:pPr>
              <w:autoSpaceDE w:val="0"/>
              <w:autoSpaceDN w:val="0"/>
              <w:adjustRightInd w:val="0"/>
              <w:spacing w:line="360" w:lineRule="auto"/>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日期：   年   月   日</w:t>
            </w:r>
          </w:p>
        </w:tc>
        <w:tc>
          <w:tcPr>
            <w:tcW w:w="3464" w:type="dxa"/>
          </w:tcPr>
          <w:p w14:paraId="6F068161">
            <w:pPr>
              <w:autoSpaceDE w:val="0"/>
              <w:autoSpaceDN w:val="0"/>
              <w:adjustRightInd w:val="0"/>
              <w:spacing w:line="360" w:lineRule="auto"/>
              <w:jc w:val="left"/>
              <w:rPr>
                <w:rFonts w:ascii="仿宋_GB2312" w:hAnsi="宋体" w:eastAsia="仿宋_GB2312"/>
                <w:color w:val="000000"/>
                <w:spacing w:val="-20"/>
                <w:kern w:val="0"/>
                <w:sz w:val="28"/>
              </w:rPr>
            </w:pPr>
            <w:r>
              <w:rPr>
                <w:rFonts w:hint="eastAsia" w:ascii="仿宋_GB2312" w:hAnsi="宋体" w:eastAsia="仿宋_GB2312"/>
                <w:color w:val="000000"/>
                <w:spacing w:val="-20"/>
                <w:kern w:val="0"/>
                <w:sz w:val="28"/>
              </w:rPr>
              <w:t>日期：       年     月     日</w:t>
            </w:r>
          </w:p>
        </w:tc>
      </w:tr>
    </w:tbl>
    <w:p w14:paraId="47D08B6E">
      <w:pPr>
        <w:rPr>
          <w:sz w:val="30"/>
          <w:szCs w:val="30"/>
        </w:rPr>
      </w:pPr>
    </w:p>
    <w:p w14:paraId="3DA99800"/>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Microsoft JhengHei UI"/>
    <w:panose1 w:val="02020509000000000000"/>
    <w:charset w:val="88"/>
    <w:family w:val="modern"/>
    <w:pitch w:val="default"/>
    <w:sig w:usb0="00000000" w:usb1="00000000" w:usb2="00000016" w:usb3="00000000" w:csb0="00100001" w:csb1="00000000"/>
  </w:font>
  <w:font w:name="細明體">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23225"/>
      <w:docPartObj>
        <w:docPartGallery w:val="autotext"/>
      </w:docPartObj>
    </w:sdtPr>
    <w:sdtContent>
      <w:p w14:paraId="066D5892">
        <w:pPr>
          <w:pStyle w:val="2"/>
          <w:jc w:val="center"/>
        </w:pPr>
        <w:r>
          <w:fldChar w:fldCharType="begin"/>
        </w:r>
        <w:r>
          <w:instrText xml:space="preserve"> PAGE   \* MERGEFORMAT </w:instrText>
        </w:r>
        <w:r>
          <w:fldChar w:fldCharType="separate"/>
        </w:r>
        <w:r>
          <w:rPr>
            <w:lang w:val="zh-CN"/>
          </w:rPr>
          <w:t>8</w:t>
        </w:r>
        <w:r>
          <w:rPr>
            <w:lang w:val="zh-CN"/>
          </w:rPr>
          <w:fldChar w:fldCharType="end"/>
        </w:r>
      </w:p>
    </w:sdtContent>
  </w:sdt>
  <w:p w14:paraId="2B0D4FC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2MjBhMTJmNGE3ZThlNzAxNDk0OGRjZTQ2YWIyNDAifQ=="/>
  </w:docVars>
  <w:rsids>
    <w:rsidRoot w:val="00BE37D8"/>
    <w:rsid w:val="00023394"/>
    <w:rsid w:val="000F5B6A"/>
    <w:rsid w:val="001E2DB8"/>
    <w:rsid w:val="001F3E4E"/>
    <w:rsid w:val="0028587D"/>
    <w:rsid w:val="002B3422"/>
    <w:rsid w:val="002C4196"/>
    <w:rsid w:val="00552B48"/>
    <w:rsid w:val="005D5AA6"/>
    <w:rsid w:val="0066770D"/>
    <w:rsid w:val="00753A55"/>
    <w:rsid w:val="007610C3"/>
    <w:rsid w:val="007C0E65"/>
    <w:rsid w:val="00865F5D"/>
    <w:rsid w:val="00895B9F"/>
    <w:rsid w:val="009B04E1"/>
    <w:rsid w:val="00AA6F26"/>
    <w:rsid w:val="00AB60AD"/>
    <w:rsid w:val="00BE37D8"/>
    <w:rsid w:val="00BF5276"/>
    <w:rsid w:val="00CF1B4A"/>
    <w:rsid w:val="00D47DF0"/>
    <w:rsid w:val="00DA691F"/>
    <w:rsid w:val="00DB6B0F"/>
    <w:rsid w:val="00DC5241"/>
    <w:rsid w:val="00DD7861"/>
    <w:rsid w:val="00E0794B"/>
    <w:rsid w:val="00E23229"/>
    <w:rsid w:val="00F4347A"/>
    <w:rsid w:val="00F91E07"/>
    <w:rsid w:val="00FB55C9"/>
    <w:rsid w:val="04825018"/>
    <w:rsid w:val="681E2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正文文本1"/>
    <w:basedOn w:val="1"/>
    <w:autoRedefine/>
    <w:qFormat/>
    <w:uiPriority w:val="0"/>
    <w:pPr>
      <w:shd w:val="clear" w:color="auto" w:fill="FFFFFF"/>
      <w:spacing w:line="480" w:lineRule="auto"/>
    </w:pPr>
    <w:rPr>
      <w:rFonts w:ascii="MingLiU" w:hAnsi="MingLiU" w:eastAsia="MingLiU" w:cs="MingLiU"/>
      <w:sz w:val="28"/>
      <w:szCs w:val="28"/>
      <w:lang w:val="zh-CN" w:bidi="zh-CN"/>
    </w:rPr>
  </w:style>
  <w:style w:type="paragraph" w:customStyle="1" w:styleId="9">
    <w:name w:val="Blockquote"/>
    <w:basedOn w:val="1"/>
    <w:autoRedefine/>
    <w:qFormat/>
    <w:uiPriority w:val="0"/>
    <w:pPr>
      <w:autoSpaceDE w:val="0"/>
      <w:autoSpaceDN w:val="0"/>
      <w:adjustRightInd w:val="0"/>
      <w:spacing w:before="100" w:after="100"/>
      <w:ind w:left="360" w:right="360"/>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4810</Words>
  <Characters>4988</Characters>
  <Lines>38</Lines>
  <Paragraphs>10</Paragraphs>
  <TotalTime>13</TotalTime>
  <ScaleCrop>false</ScaleCrop>
  <LinksUpToDate>false</LinksUpToDate>
  <CharactersWithSpaces>5279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2024-08-21T00:53:00Z</dcterms:created>
  <dc:creator>Administrator</dc:creator>
  <cp:lastModifiedBy>ヽ陌</cp:lastModifiedBy>
  <dcterms:modified xsi:type="dcterms:W3CDTF">2025-08-14T08:43:05Z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BCDE655F118F4795AC474AE3EAEFAF3D_12</vt:lpwstr>
  </property>
  <property fmtid="{D5CDD505-2E9C-101B-9397-08002B2CF9AE}" pid="4" name="KSOTemplateDocerSaveRecord">
    <vt:lpwstr>eyJoZGlkIjoiOGYwYTdlZGI0Y2JkNzkyODY0NWI0YTMwNzNiMTRhNGQiLCJ1c2VySWQiOiI1NzIxODIwNjIifQ==</vt:lpwstr>
  </property>
</Properties>
</file>