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版本号：0617--2521FZ165220250814001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补贴普惠托育机构保险费用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0617--2521FZ1652</w:t>
      </w:r>
      <w:r>
        <w:br/>
      </w:r>
      <w:r>
        <w:br/>
      </w:r>
      <w:r>
        <w:br/>
      </w:r>
    </w:p>
    <w:p>
      <w:pPr>
        <w:pStyle w:val="null3"/>
        <w:jc w:val="center"/>
        <w:outlineLvl w:val="2"/>
      </w:pPr>
      <w:r>
        <w:rPr>
          <w:rFonts w:ascii="仿宋_GB2312" w:hAnsi="仿宋_GB2312" w:cs="仿宋_GB2312" w:eastAsia="仿宋_GB2312"/>
          <w:sz w:val="28"/>
          <w:b/>
        </w:rPr>
        <w:t>西安市卫生健康委员会（本级）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西安市卫生健康委员会（本级）</w:t>
      </w:r>
      <w:r>
        <w:rPr>
          <w:rFonts w:ascii="仿宋_GB2312" w:hAnsi="仿宋_GB2312" w:cs="仿宋_GB2312" w:eastAsia="仿宋_GB2312"/>
        </w:rPr>
        <w:t>委托，拟对</w:t>
      </w:r>
      <w:r>
        <w:rPr>
          <w:rFonts w:ascii="仿宋_GB2312" w:hAnsi="仿宋_GB2312" w:cs="仿宋_GB2312" w:eastAsia="仿宋_GB2312"/>
        </w:rPr>
        <w:t>补贴普惠托育机构保险费用</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0617--2521FZ1652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补贴普惠托育机构保险费用</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为西安市符合条件的备案普惠性托育机构购买托育机构责任保险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1、特殊资格：1.投标人具有银行保险监督管理委员会颁发的保险许可证或经营保险业务许可证。（提供证书复印件） 2.若投标人是商业保险集团（总公司）授权的分公司参与投标，只接受商业保险集团（总公司）授权的一家分公司参与投标（说明：若总公司与分公司同时参与本项目投标或总公司授权两家及以上分公司同时参与本项目投标，相关投标均按无效投标处理）。（提供授权书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西安市卫生健康委员会（本级）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西安市卫生健康委员会（本级）经办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 缴费时间:确定中标人后3日内，由中标人向招标代理机构一次付清招标代理服务费。 3. 银行信息:户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西安市卫生健康委员会（本级）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西安市卫生健康委员会（本级）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西安市卫生健康委员会（本级）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为西安市符合条件的备案普惠性托育机构购买托育机构责任保险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一、服务范围</w:t>
            </w:r>
          </w:p>
          <w:p>
            <w:pPr>
              <w:pStyle w:val="null3"/>
            </w:pPr>
            <w:r>
              <w:rPr>
                <w:rFonts w:ascii="仿宋_GB2312" w:hAnsi="仿宋_GB2312" w:cs="仿宋_GB2312" w:eastAsia="仿宋_GB2312"/>
              </w:rPr>
              <w:t>为西安市符合条件的备案普惠性托育机构购买托育机构责任保险</w:t>
            </w:r>
            <w:r>
              <w:rPr>
                <w:rFonts w:ascii="仿宋_GB2312" w:hAnsi="仿宋_GB2312" w:cs="仿宋_GB2312" w:eastAsia="仿宋_GB2312"/>
              </w:rPr>
              <w:t>，</w:t>
            </w:r>
            <w:r>
              <w:rPr>
                <w:rFonts w:ascii="仿宋_GB2312" w:hAnsi="仿宋_GB2312" w:cs="仿宋_GB2312" w:eastAsia="仿宋_GB2312"/>
              </w:rPr>
              <w:t>具体参保名单以西安市卫生健康委员会提供为准。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rPr>
              <w:t>服务内容</w:t>
            </w:r>
          </w:p>
          <w:p>
            <w:pPr>
              <w:pStyle w:val="null3"/>
            </w:pPr>
            <w:r>
              <w:rPr>
                <w:rFonts w:ascii="仿宋_GB2312" w:hAnsi="仿宋_GB2312" w:cs="仿宋_GB2312" w:eastAsia="仿宋_GB2312"/>
              </w:rPr>
              <w:t>（一）保险对象</w:t>
            </w:r>
          </w:p>
          <w:p>
            <w:pPr>
              <w:pStyle w:val="null3"/>
            </w:pPr>
            <w:r>
              <w:rPr>
                <w:rFonts w:ascii="仿宋_GB2312" w:hAnsi="仿宋_GB2312" w:cs="仿宋_GB2312" w:eastAsia="仿宋_GB2312"/>
              </w:rPr>
              <w:t>西安市符合条件的备案普惠性托育机构</w:t>
            </w:r>
            <w:r>
              <w:rPr>
                <w:rFonts w:ascii="仿宋_GB2312" w:hAnsi="仿宋_GB2312" w:cs="仿宋_GB2312" w:eastAsia="仿宋_GB2312"/>
              </w:rPr>
              <w:t>，</w:t>
            </w:r>
            <w:r>
              <w:rPr>
                <w:rFonts w:ascii="仿宋_GB2312" w:hAnsi="仿宋_GB2312" w:cs="仿宋_GB2312" w:eastAsia="仿宋_GB2312"/>
              </w:rPr>
              <w:t>具体参保名单以西安市卫生健康委员会提供为准。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（二）</w:t>
            </w:r>
            <w:r>
              <w:rPr>
                <w:rFonts w:ascii="仿宋_GB2312" w:hAnsi="仿宋_GB2312" w:cs="仿宋_GB2312" w:eastAsia="仿宋_GB2312"/>
              </w:rPr>
              <w:t>保险对象</w:t>
            </w:r>
            <w:r>
              <w:rPr>
                <w:rFonts w:ascii="仿宋_GB2312" w:hAnsi="仿宋_GB2312" w:cs="仿宋_GB2312" w:eastAsia="仿宋_GB2312"/>
              </w:rPr>
              <w:t>数量</w:t>
            </w:r>
          </w:p>
          <w:p>
            <w:pPr>
              <w:pStyle w:val="null3"/>
              <w:jc w:val="both"/>
            </w:pPr>
            <w:r>
              <w:rPr>
                <w:rFonts w:ascii="仿宋_GB2312" w:hAnsi="仿宋_GB2312" w:cs="仿宋_GB2312" w:eastAsia="仿宋_GB2312"/>
                <w:sz w:val="21"/>
              </w:rPr>
              <w:t>预计</w:t>
            </w:r>
            <w:r>
              <w:rPr>
                <w:rFonts w:ascii="仿宋_GB2312" w:hAnsi="仿宋_GB2312" w:cs="仿宋_GB2312" w:eastAsia="仿宋_GB2312"/>
                <w:sz w:val="21"/>
              </w:rPr>
              <w:t>350</w:t>
            </w:r>
            <w:r>
              <w:rPr>
                <w:rFonts w:ascii="仿宋_GB2312" w:hAnsi="仿宋_GB2312" w:cs="仿宋_GB2312" w:eastAsia="仿宋_GB2312"/>
                <w:sz w:val="21"/>
              </w:rPr>
              <w:t>所托育机构（说明：</w:t>
            </w:r>
            <w:r>
              <w:rPr>
                <w:rFonts w:ascii="仿宋_GB2312" w:hAnsi="仿宋_GB2312" w:cs="仿宋_GB2312" w:eastAsia="仿宋_GB2312"/>
                <w:sz w:val="21"/>
              </w:rPr>
              <w:t>截至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日，全市现有通过备案的普惠性托育机构约</w:t>
            </w:r>
            <w:r>
              <w:rPr>
                <w:rFonts w:ascii="仿宋_GB2312" w:hAnsi="仿宋_GB2312" w:cs="仿宋_GB2312" w:eastAsia="仿宋_GB2312"/>
                <w:sz w:val="21"/>
              </w:rPr>
              <w:t>120</w:t>
            </w:r>
            <w:r>
              <w:rPr>
                <w:rFonts w:ascii="仿宋_GB2312" w:hAnsi="仿宋_GB2312" w:cs="仿宋_GB2312" w:eastAsia="仿宋_GB2312"/>
                <w:sz w:val="21"/>
              </w:rPr>
              <w:t>所，数量每月都在增加，完成备案的新增普惠性托育机构也将纳入保障范围，预估到</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日，通过备案的普惠性托育机构将增加至</w:t>
            </w:r>
            <w:r>
              <w:rPr>
                <w:rFonts w:ascii="仿宋_GB2312" w:hAnsi="仿宋_GB2312" w:cs="仿宋_GB2312" w:eastAsia="仿宋_GB2312"/>
                <w:sz w:val="21"/>
              </w:rPr>
              <w:t>350</w:t>
            </w:r>
            <w:r>
              <w:rPr>
                <w:rFonts w:ascii="仿宋_GB2312" w:hAnsi="仿宋_GB2312" w:cs="仿宋_GB2312" w:eastAsia="仿宋_GB2312"/>
                <w:sz w:val="21"/>
              </w:rPr>
              <w:t>所。</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（三）参保方式</w:t>
            </w:r>
          </w:p>
          <w:p>
            <w:pPr>
              <w:pStyle w:val="null3"/>
            </w:pPr>
            <w:r>
              <w:rPr>
                <w:rFonts w:ascii="仿宋_GB2312" w:hAnsi="仿宋_GB2312" w:cs="仿宋_GB2312" w:eastAsia="仿宋_GB2312"/>
              </w:rPr>
              <w:t>采取西安市卫生健康委员会统一出资参保的形式，为西安市符合条件的备案普惠性托育机构购买托育机构责任保险。具体参保名单以西安市卫生健康委员会提供为准。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（四）保险期限</w:t>
            </w:r>
          </w:p>
          <w:p>
            <w:pPr>
              <w:pStyle w:val="null3"/>
            </w:pPr>
            <w:r>
              <w:rPr>
                <w:rFonts w:ascii="仿宋_GB2312" w:hAnsi="仿宋_GB2312" w:cs="仿宋_GB2312" w:eastAsia="仿宋_GB2312"/>
              </w:rPr>
              <w:t>自合同生效之日起，为截至</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6</w:t>
            </w:r>
            <w:r>
              <w:rPr>
                <w:rFonts w:ascii="仿宋_GB2312" w:hAnsi="仿宋_GB2312" w:cs="仿宋_GB2312" w:eastAsia="仿宋_GB2312"/>
              </w:rPr>
              <w:t>月</w:t>
            </w:r>
            <w:r>
              <w:rPr>
                <w:rFonts w:ascii="仿宋_GB2312" w:hAnsi="仿宋_GB2312" w:cs="仿宋_GB2312" w:eastAsia="仿宋_GB2312"/>
              </w:rPr>
              <w:t>30</w:t>
            </w:r>
            <w:r>
              <w:rPr>
                <w:rFonts w:ascii="仿宋_GB2312" w:hAnsi="仿宋_GB2312" w:cs="仿宋_GB2312" w:eastAsia="仿宋_GB2312"/>
              </w:rPr>
              <w:t>日前通过备案的普惠性托育机构提供两年保险服务。</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1.</w:t>
            </w:r>
            <w:r>
              <w:rPr>
                <w:rFonts w:ascii="仿宋_GB2312" w:hAnsi="仿宋_GB2312" w:cs="仿宋_GB2312" w:eastAsia="仿宋_GB2312"/>
              </w:rPr>
              <w:t>在保险期间内，在被保险人的在校活动中或由被保险人统一组织或安排的活动过程中，因发生下列情形导致被保险人的学生（以下简称</w:t>
            </w:r>
            <w:r>
              <w:rPr>
                <w:rFonts w:ascii="仿宋_GB2312" w:hAnsi="仿宋_GB2312" w:cs="仿宋_GB2312" w:eastAsia="仿宋_GB2312"/>
              </w:rPr>
              <w:t>“学生”）遭受人身损害，依照中华人民共和国法律（不包括港澳台地区法律，以下简称“依法”）应由被保险人承担的经济赔偿责任，保险人按照本保险合同的约定负责赔偿：</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被保险人的校舍、场地、其他公共设施，以及被保险人提供给学生使用的学具、教育教学和生活设施、设备不符合国家规定的标准，或者有明显不安全因素的；</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被保险人的安全保卫、消防、设施设备管理等安全管理制度有疏漏，或者管理混乱，存在安全隐患，而未及时采取措施的；</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被保险人向学生提供的药品、食品、饮用水以及其他物品不符合国家、行业的卫生、安全标准的；</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被保险人组织学生参加教育教学活动或者校外活动，未按规定对学生进行相应的安全教育，且未在可预见的范围内采取必要的安全措施的；</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被保险人的教师或者其他工作人员患有不适宜担任教学工作的疾病，但被保险人未采取必要措施的；</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被保险人违反有关规定，组织或者安排未成年学生从事不宜未成年人参加的劳动、体育运动或者其他活动的；</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学生有特异体质或特定疾病，不宜参加某种教育教学活动，被保险人知道或者应当知道，但未予以必要注意的；</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学生在校期间突发疾病或者受到伤害，被保险人已发现，但未根据实际情况及时采取相应措施，导致不良后果加重的；</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被保险人的教师或者其他工作人员体罚或者变相体罚学生，或者在履行职责过程中违反工作要求、操作规程、职业道德或者其他有关规定的；</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被保险人的教师或者其他工作人员在负有组织、管理未成年学生的职责期间，发现学生行为具有危险性，但未进行必要的管理、告诫或者制止的；</w:t>
            </w:r>
          </w:p>
          <w:p>
            <w:pPr>
              <w:pStyle w:val="null3"/>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对未成年学生擅自离校等与学生人身安全直接相关的信息，被保险人发现或者知道，但未及时告知未成年学生的监护人，导致未成年学生因脱离监护人的保护而发生伤害的；</w:t>
            </w:r>
          </w:p>
          <w:p>
            <w:pPr>
              <w:pStyle w:val="null3"/>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研学旅行期间发生意外事故的；</w:t>
            </w:r>
          </w:p>
          <w:p>
            <w:pPr>
              <w:pStyle w:val="null3"/>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被保险人未依法履行职责的其他情形。</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2.</w:t>
            </w:r>
            <w:r>
              <w:rPr>
                <w:rFonts w:ascii="仿宋_GB2312" w:hAnsi="仿宋_GB2312" w:cs="仿宋_GB2312" w:eastAsia="仿宋_GB2312"/>
              </w:rPr>
              <w:t>在保险期间内，在被保险人管理范围内或在被保险人统一组织或安排的活动中发生下列情形，经人民法院判决，或仲裁机构裁决或保险人认可的赔偿处理组织认定应由被保险人依法根据实际情况对学生给予经济补偿，保险人按照本保险合同的约定负责赔偿：</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学生在代表被保险人参加各项比赛，或者在参加被保险人统一组织的各项活动中发生意外事故；</w:t>
            </w:r>
          </w:p>
          <w:p>
            <w:pPr>
              <w:pStyle w:val="null3"/>
            </w:pPr>
            <w:r>
              <w:rPr>
                <w:rFonts w:ascii="仿宋_GB2312" w:hAnsi="仿宋_GB2312" w:cs="仿宋_GB2312" w:eastAsia="仿宋_GB2312"/>
              </w:rPr>
              <w:t>(2)</w:t>
            </w:r>
            <w:r>
              <w:rPr>
                <w:rFonts w:ascii="仿宋_GB2312" w:hAnsi="仿宋_GB2312" w:cs="仿宋_GB2312" w:eastAsia="仿宋_GB2312"/>
              </w:rPr>
              <w:t>拥挤、踩踏造成的意外事故；</w:t>
            </w:r>
          </w:p>
          <w:p>
            <w:pPr>
              <w:pStyle w:val="null3"/>
            </w:pPr>
            <w:r>
              <w:rPr>
                <w:rFonts w:ascii="仿宋_GB2312" w:hAnsi="仿宋_GB2312" w:cs="仿宋_GB2312" w:eastAsia="仿宋_GB2312"/>
              </w:rPr>
              <w:t>(3)</w:t>
            </w:r>
            <w:r>
              <w:rPr>
                <w:rFonts w:ascii="仿宋_GB2312" w:hAnsi="仿宋_GB2312" w:cs="仿宋_GB2312" w:eastAsia="仿宋_GB2312"/>
              </w:rPr>
              <w:t>火灾、爆炸、煤气中毒等造成的意外事故；</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高空物体坠落造成的意外事故</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3.</w:t>
            </w:r>
            <w:r>
              <w:rPr>
                <w:rFonts w:ascii="仿宋_GB2312" w:hAnsi="仿宋_GB2312" w:cs="仿宋_GB2312" w:eastAsia="仿宋_GB2312"/>
              </w:rPr>
              <w:t>在保险期间内，因下列原因导致被保险人的教职员工伤、残或死亡的，依照中华人民共和国法律（不包括港澳台地区法律）应由被保险人承担的死亡赔偿金、伤残赔偿金和医疗费用赔偿责任，保险人按照本保险合同约定负责赔偿：</w:t>
            </w:r>
          </w:p>
          <w:p>
            <w:pPr>
              <w:pStyle w:val="null3"/>
            </w:pPr>
            <w:r>
              <w:rPr>
                <w:rFonts w:ascii="仿宋_GB2312" w:hAnsi="仿宋_GB2312" w:cs="仿宋_GB2312" w:eastAsia="仿宋_GB2312"/>
              </w:rPr>
              <w:t>(1)</w:t>
            </w:r>
            <w:r>
              <w:rPr>
                <w:rFonts w:ascii="仿宋_GB2312" w:hAnsi="仿宋_GB2312" w:cs="仿宋_GB2312" w:eastAsia="仿宋_GB2312"/>
              </w:rPr>
              <w:t>被保险人的教职员工在工作期间以及加班期间因从事被保险人的工作而遭受意外事故；</w:t>
            </w:r>
          </w:p>
          <w:p>
            <w:pPr>
              <w:pStyle w:val="null3"/>
            </w:pPr>
            <w:r>
              <w:rPr>
                <w:rFonts w:ascii="仿宋_GB2312" w:hAnsi="仿宋_GB2312" w:cs="仿宋_GB2312" w:eastAsia="仿宋_GB2312"/>
              </w:rPr>
              <w:t>(2)</w:t>
            </w:r>
            <w:r>
              <w:rPr>
                <w:rFonts w:ascii="仿宋_GB2312" w:hAnsi="仿宋_GB2312" w:cs="仿宋_GB2312" w:eastAsia="仿宋_GB2312"/>
              </w:rPr>
              <w:t>被保险人的教职员工在上下班途中遭受意外事故；</w:t>
            </w:r>
          </w:p>
          <w:p>
            <w:pPr>
              <w:pStyle w:val="null3"/>
            </w:pPr>
            <w:r>
              <w:rPr>
                <w:rFonts w:ascii="仿宋_GB2312" w:hAnsi="仿宋_GB2312" w:cs="仿宋_GB2312" w:eastAsia="仿宋_GB2312"/>
              </w:rPr>
              <w:t>(3)</w:t>
            </w:r>
            <w:r>
              <w:rPr>
                <w:rFonts w:ascii="仿宋_GB2312" w:hAnsi="仿宋_GB2312" w:cs="仿宋_GB2312" w:eastAsia="仿宋_GB2312"/>
              </w:rPr>
              <w:t>被保险人的教职员工被诊断、鉴定为患有与工作有关的职业病；</w:t>
            </w:r>
          </w:p>
          <w:p>
            <w:pPr>
              <w:pStyle w:val="null3"/>
            </w:pPr>
            <w:r>
              <w:rPr>
                <w:rFonts w:ascii="仿宋_GB2312" w:hAnsi="仿宋_GB2312" w:cs="仿宋_GB2312" w:eastAsia="仿宋_GB2312"/>
              </w:rPr>
              <w:t>(4)</w:t>
            </w:r>
            <w:r>
              <w:rPr>
                <w:rFonts w:ascii="仿宋_GB2312" w:hAnsi="仿宋_GB2312" w:cs="仿宋_GB2312" w:eastAsia="仿宋_GB2312"/>
              </w:rPr>
              <w:t>被保险人的教职员工在中华人民共和国境内（不包括港澳台地区），因工外出期间由于工作原因遭受意外事故；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被保险人的教职员工在被保险人统一组织的活动中遭受的意外事故。</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4.</w:t>
            </w:r>
            <w:r>
              <w:rPr>
                <w:rFonts w:ascii="仿宋_GB2312" w:hAnsi="仿宋_GB2312" w:cs="仿宋_GB2312" w:eastAsia="仿宋_GB2312"/>
              </w:rPr>
              <w:t>在保险期间内，被保险人在保险单载明的区域范围内因经营业务发生意外事故，造成第三者的人身伤亡或财产损失，依照中华人民共和国法律（不包括港澳台地区法律）应由被保险人承担的经济赔偿责任，保险人按照本保险合同约定负责赔偿。</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5.</w:t>
            </w:r>
            <w:r>
              <w:rPr>
                <w:rFonts w:ascii="仿宋_GB2312" w:hAnsi="仿宋_GB2312" w:cs="仿宋_GB2312" w:eastAsia="仿宋_GB2312"/>
              </w:rPr>
              <w:t>在保险期间内，发生在保险单载明的区域范围内因经营业务发生意外事故，意外事故造成第三者的人身伤亡，受害人或其近亲属提出精神损害赔偿的，依照中华人民共和国（不包括港澳台地区）法院判决应由被保险人承担的精神损害赔偿责任，保险人按照本保险合同约定负责赔偿。</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6.</w:t>
            </w:r>
            <w:r>
              <w:rPr>
                <w:rFonts w:ascii="仿宋_GB2312" w:hAnsi="仿宋_GB2312" w:cs="仿宋_GB2312" w:eastAsia="仿宋_GB2312"/>
              </w:rPr>
              <w:t>在保险期间内，被保险人在本保险单明细表中列明地点范围内因其提供的食品、饮料或掺有异物的食品、饮料造成第三者人身伤亡或财产损失时依法应负的赔偿责任</w:t>
            </w:r>
            <w:r>
              <w:rPr>
                <w:rFonts w:ascii="仿宋_GB2312" w:hAnsi="仿宋_GB2312" w:cs="仿宋_GB2312" w:eastAsia="仿宋_GB2312"/>
              </w:rPr>
              <w:t>，</w:t>
            </w:r>
            <w:r>
              <w:rPr>
                <w:rFonts w:ascii="仿宋_GB2312" w:hAnsi="仿宋_GB2312" w:cs="仿宋_GB2312" w:eastAsia="仿宋_GB2312"/>
              </w:rPr>
              <w:t>保险人按照本保险合同约定负责赔偿。</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7.</w:t>
            </w:r>
            <w:r>
              <w:rPr>
                <w:rFonts w:ascii="仿宋_GB2312" w:hAnsi="仿宋_GB2312" w:cs="仿宋_GB2312" w:eastAsia="仿宋_GB2312"/>
              </w:rPr>
              <w:t>保险事故发生后，被保险人因保险事故而被提起仲裁或者诉讼的，对应由被保险人支付的仲裁或诉讼费用以及事先经保险人书面同意支付的其他必要的、合理的法律费用，保险人按照本保险合同约定也负责赔偿</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（五）保险责任</w:t>
            </w:r>
          </w:p>
          <w:p>
            <w:pPr>
              <w:pStyle w:val="null3"/>
            </w:pPr>
            <w:r>
              <w:rPr>
                <w:rFonts w:ascii="仿宋_GB2312" w:hAnsi="仿宋_GB2312" w:cs="仿宋_GB2312" w:eastAsia="仿宋_GB2312"/>
              </w:rPr>
              <w:t>8.</w:t>
            </w:r>
            <w:r>
              <w:rPr>
                <w:rFonts w:ascii="仿宋_GB2312" w:hAnsi="仿宋_GB2312" w:cs="仿宋_GB2312" w:eastAsia="仿宋_GB2312"/>
              </w:rPr>
              <w:t>保险事故发生后，在被保险人载明的区域范围内因经营业务发生意外事故产生施救费用，承保机构应按照合同的约定负责赔偿。</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（六）保险险种及保额</w:t>
            </w:r>
          </w:p>
          <w:tbl>
            <w:tblPr>
              <w:tblInd w:type="dxa" w:w="120"/>
              <w:tblBorders>
                <w:top w:val="none" w:color="000000" w:sz="4"/>
                <w:left w:val="none" w:color="000000" w:sz="4"/>
                <w:bottom w:val="none" w:color="000000" w:sz="4"/>
                <w:right w:val="none" w:color="000000" w:sz="4"/>
                <w:insideH w:val="none"/>
                <w:insideV w:val="none"/>
              </w:tblBorders>
            </w:tblPr>
            <w:tblGrid>
              <w:gridCol w:w="641"/>
              <w:gridCol w:w="1113"/>
              <w:gridCol w:w="798"/>
            </w:tblGrid>
            <w:tr>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险种</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责任</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保额（万元）</w:t>
                  </w:r>
                </w:p>
              </w:tc>
            </w:tr>
            <w:tr>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学生责任险</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每人死亡、伤残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每人医疗</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精神损害</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每次事故限额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累计赔偿限额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1000</w:t>
                  </w:r>
                </w:p>
              </w:tc>
            </w:tr>
            <w:tr>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食责险</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每人死亡、伤残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每人医疗</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精神损害</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每次事故限额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累计赔偿限额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w:t>
                  </w:r>
                </w:p>
              </w:tc>
            </w:tr>
            <w:tr>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教职工意外险</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每人死亡、伤残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每人医疗</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精神损害</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每次事故限额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累计赔偿限额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w:t>
                  </w:r>
                </w:p>
              </w:tc>
            </w:tr>
            <w:tr>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公众责任险</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每人死亡、伤残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每人医疗</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每次财损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精神损害</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每次事故限额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累计赔偿限额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500</w:t>
                  </w:r>
                </w:p>
              </w:tc>
            </w:tr>
            <w:tr>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施救费用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每次事故</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累计赔偿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r>
            <w:tr>
              <w:tc>
                <w:tcPr>
                  <w:tcW w:type="dxa" w:w="6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法律费用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每次事故法律费用赔偿限额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主险限额</w:t>
                  </w:r>
                  <w:r>
                    <w:rPr>
                      <w:rFonts w:ascii="仿宋_GB2312" w:hAnsi="仿宋_GB2312" w:cs="仿宋_GB2312" w:eastAsia="仿宋_GB2312"/>
                      <w:sz w:val="19"/>
                    </w:rPr>
                    <w:t>10%</w:t>
                  </w:r>
                </w:p>
              </w:tc>
            </w:tr>
            <w:tr>
              <w:tc>
                <w:tcPr>
                  <w:tcW w:type="dxa" w:w="641"/>
                  <w:vMerge/>
                  <w:tcBorders>
                    <w:top w:val="none" w:color="000000" w:sz="4"/>
                    <w:left w:val="singl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累计法律费用赔偿限额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主险限额</w:t>
                  </w:r>
                  <w:r>
                    <w:rPr>
                      <w:rFonts w:ascii="仿宋_GB2312" w:hAnsi="仿宋_GB2312" w:cs="仿宋_GB2312" w:eastAsia="仿宋_GB2312"/>
                      <w:sz w:val="19"/>
                    </w:rPr>
                    <w:t>10%</w:t>
                  </w:r>
                </w:p>
              </w:tc>
            </w:tr>
          </w:tbl>
          <w:p>
            <w:pPr>
              <w:pStyle w:val="null3"/>
            </w:pPr>
            <w:r>
              <w:rPr>
                <w:rFonts w:ascii="仿宋_GB2312" w:hAnsi="仿宋_GB2312" w:cs="仿宋_GB2312" w:eastAsia="仿宋_GB2312"/>
              </w:rPr>
              <w:t>各险种免赔说明：各险种的绝对免赔额均为零</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（七）承保服务</w:t>
            </w:r>
          </w:p>
          <w:p>
            <w:pPr>
              <w:pStyle w:val="null3"/>
            </w:pPr>
            <w:r>
              <w:rPr>
                <w:rFonts w:ascii="仿宋_GB2312" w:hAnsi="仿宋_GB2312" w:cs="仿宋_GB2312" w:eastAsia="仿宋_GB2312"/>
              </w:rPr>
              <w:t>供应商</w:t>
            </w:r>
            <w:r>
              <w:rPr>
                <w:rFonts w:ascii="仿宋_GB2312" w:hAnsi="仿宋_GB2312" w:cs="仿宋_GB2312" w:eastAsia="仿宋_GB2312"/>
              </w:rPr>
              <w:t>须极联系参保对象及项目相关方做好投保服务，提供及时、方便、快捷的</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小时服务。并提供完整的且在监管备案的保险责任条款。签订合同后，</w:t>
            </w:r>
            <w:r>
              <w:rPr>
                <w:rFonts w:ascii="仿宋_GB2312" w:hAnsi="仿宋_GB2312" w:cs="仿宋_GB2312" w:eastAsia="仿宋_GB2312"/>
              </w:rPr>
              <w:t>3</w:t>
            </w:r>
            <w:r>
              <w:rPr>
                <w:rFonts w:ascii="仿宋_GB2312" w:hAnsi="仿宋_GB2312" w:cs="仿宋_GB2312" w:eastAsia="仿宋_GB2312"/>
              </w:rPr>
              <w:t>日内出具保单，并提合同约定金额的增值税发票。</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八</w:t>
            </w:r>
            <w:r>
              <w:rPr>
                <w:rFonts w:ascii="仿宋_GB2312" w:hAnsi="仿宋_GB2312" w:cs="仿宋_GB2312" w:eastAsia="仿宋_GB2312"/>
              </w:rPr>
              <w:t>）理赔服务</w:t>
            </w:r>
          </w:p>
          <w:p>
            <w:pPr>
              <w:pStyle w:val="null3"/>
            </w:pPr>
            <w:r>
              <w:rPr>
                <w:rFonts w:ascii="仿宋_GB2312" w:hAnsi="仿宋_GB2312" w:cs="仿宋_GB2312" w:eastAsia="仿宋_GB2312"/>
              </w:rPr>
              <w:t>供应商</w:t>
            </w:r>
            <w:r>
              <w:rPr>
                <w:rFonts w:ascii="仿宋_GB2312" w:hAnsi="仿宋_GB2312" w:cs="仿宋_GB2312" w:eastAsia="仿宋_GB2312"/>
              </w:rPr>
              <w:t>须按照合同约定，成立专属服务团队，提供一对一服务，做好理赔服务、系统搭建、风险管理、咨询投诉等工作。</w:t>
            </w:r>
          </w:p>
          <w:p>
            <w:pPr>
              <w:pStyle w:val="null3"/>
            </w:pPr>
            <w:r>
              <w:rPr>
                <w:rFonts w:ascii="仿宋_GB2312" w:hAnsi="仿宋_GB2312" w:cs="仿宋_GB2312" w:eastAsia="仿宋_GB2312"/>
              </w:rPr>
              <w:t>供应商</w:t>
            </w:r>
            <w:r>
              <w:rPr>
                <w:rFonts w:ascii="仿宋_GB2312" w:hAnsi="仿宋_GB2312" w:cs="仿宋_GB2312" w:eastAsia="仿宋_GB2312"/>
              </w:rPr>
              <w:t>须制定符合当地参保对象特点的理赔流程，理赔过程中坚持主动、简便和有利于参保对象权益的原则，为参保对象提供就地报案、就地查勘定损、就地支付赔款的保险服务，确保为参保对象提供方便、及时的理赔服务。</w:t>
            </w:r>
          </w:p>
          <w:p>
            <w:pPr>
              <w:pStyle w:val="null3"/>
            </w:pPr>
            <w:r>
              <w:rPr>
                <w:rFonts w:ascii="仿宋_GB2312" w:hAnsi="仿宋_GB2312" w:cs="仿宋_GB2312" w:eastAsia="仿宋_GB2312"/>
              </w:rPr>
              <w:t>供应商</w:t>
            </w:r>
            <w:r>
              <w:rPr>
                <w:rFonts w:ascii="仿宋_GB2312" w:hAnsi="仿宋_GB2312" w:cs="仿宋_GB2312" w:eastAsia="仿宋_GB2312"/>
              </w:rPr>
              <w:t>须建立健全赔款保障机制，通过建立理赔公示制度和赔款支付回访制度，保证理赔结果的公开性和真实性。</w:t>
            </w:r>
          </w:p>
          <w:p>
            <w:pPr>
              <w:pStyle w:val="null3"/>
            </w:pPr>
            <w:r>
              <w:rPr>
                <w:rFonts w:ascii="仿宋_GB2312" w:hAnsi="仿宋_GB2312" w:cs="仿宋_GB2312" w:eastAsia="仿宋_GB2312"/>
              </w:rPr>
              <w:t>供应商</w:t>
            </w:r>
            <w:r>
              <w:rPr>
                <w:rFonts w:ascii="仿宋_GB2312" w:hAnsi="仿宋_GB2312" w:cs="仿宋_GB2312" w:eastAsia="仿宋_GB2312"/>
              </w:rPr>
              <w:t>须建立数据收集、整理、分析和项目实施评价机制，定期提供保险工作进展情况。</w:t>
            </w:r>
          </w:p>
          <w:p>
            <w:pPr>
              <w:pStyle w:val="null3"/>
            </w:pPr>
            <w:r>
              <w:rPr>
                <w:rFonts w:ascii="仿宋_GB2312" w:hAnsi="仿宋_GB2312" w:cs="仿宋_GB2312" w:eastAsia="仿宋_GB2312"/>
              </w:rPr>
              <w:t>供应商</w:t>
            </w:r>
            <w:r>
              <w:rPr>
                <w:rFonts w:ascii="仿宋_GB2312" w:hAnsi="仿宋_GB2312" w:cs="仿宋_GB2312" w:eastAsia="仿宋_GB2312"/>
              </w:rPr>
              <w:t>须承诺在发生保险责任范围内事故后，一次性告知被保险人申请赔付需要提供的必要材料并协助准备，在被保险人提供有关必要材料后，自双方达成赔偿协议之日起，遵守如下赔付时限：</w:t>
            </w:r>
          </w:p>
          <w:p>
            <w:pPr>
              <w:pStyle w:val="null3"/>
            </w:pPr>
            <w:r>
              <w:rPr>
                <w:rFonts w:ascii="仿宋_GB2312" w:hAnsi="仿宋_GB2312" w:cs="仿宋_GB2312" w:eastAsia="仿宋_GB2312"/>
              </w:rPr>
              <w:t>赔款金额（人民币）</w:t>
            </w:r>
            <w:r>
              <w:rPr>
                <w:rFonts w:ascii="仿宋_GB2312" w:hAnsi="仿宋_GB2312" w:cs="仿宋_GB2312" w:eastAsia="仿宋_GB2312"/>
              </w:rPr>
              <w:t xml:space="preserve">     </w:t>
            </w:r>
            <w:r>
              <w:rPr>
                <w:rFonts w:ascii="仿宋_GB2312" w:hAnsi="仿宋_GB2312" w:cs="仿宋_GB2312" w:eastAsia="仿宋_GB2312"/>
              </w:rPr>
              <w:t>赔付时限</w:t>
            </w:r>
          </w:p>
          <w:p>
            <w:pPr>
              <w:pStyle w:val="null3"/>
            </w:pPr>
            <w:r>
              <w:rPr>
                <w:rFonts w:ascii="仿宋_GB2312" w:hAnsi="仿宋_GB2312" w:cs="仿宋_GB2312" w:eastAsia="仿宋_GB2312"/>
              </w:rPr>
              <w:t>万元以下</w:t>
            </w: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个工作日</w:t>
            </w:r>
          </w:p>
          <w:p>
            <w:pPr>
              <w:pStyle w:val="null3"/>
            </w:pPr>
            <w:r>
              <w:rPr>
                <w:rFonts w:ascii="仿宋_GB2312" w:hAnsi="仿宋_GB2312" w:cs="仿宋_GB2312" w:eastAsia="仿宋_GB2312"/>
              </w:rPr>
              <w:t>5</w:t>
            </w:r>
            <w:r>
              <w:rPr>
                <w:rFonts w:ascii="仿宋_GB2312" w:hAnsi="仿宋_GB2312" w:cs="仿宋_GB2312" w:eastAsia="仿宋_GB2312"/>
              </w:rPr>
              <w:t>万以</w:t>
            </w:r>
            <w:r>
              <w:rPr>
                <w:rFonts w:ascii="仿宋_GB2312" w:hAnsi="仿宋_GB2312" w:cs="仿宋_GB2312" w:eastAsia="仿宋_GB2312"/>
              </w:rPr>
              <w:t>下</w:t>
            </w:r>
            <w:r>
              <w:rPr>
                <w:rFonts w:ascii="仿宋_GB2312" w:hAnsi="仿宋_GB2312" w:cs="仿宋_GB2312" w:eastAsia="仿宋_GB2312"/>
              </w:rPr>
              <w:t xml:space="preserve">               </w:t>
            </w:r>
            <w:r>
              <w:rPr>
                <w:rFonts w:ascii="仿宋_GB2312" w:hAnsi="仿宋_GB2312" w:cs="仿宋_GB2312" w:eastAsia="仿宋_GB2312"/>
              </w:rPr>
              <w:t>3</w:t>
            </w:r>
            <w:r>
              <w:rPr>
                <w:rFonts w:ascii="仿宋_GB2312" w:hAnsi="仿宋_GB2312" w:cs="仿宋_GB2312" w:eastAsia="仿宋_GB2312"/>
              </w:rPr>
              <w:t>个工作日</w:t>
            </w:r>
          </w:p>
          <w:p>
            <w:pPr>
              <w:pStyle w:val="null3"/>
            </w:pPr>
            <w:r>
              <w:rPr>
                <w:rFonts w:ascii="仿宋_GB2312" w:hAnsi="仿宋_GB2312" w:cs="仿宋_GB2312" w:eastAsia="仿宋_GB2312"/>
              </w:rPr>
              <w:t>50</w:t>
            </w:r>
            <w:r>
              <w:rPr>
                <w:rFonts w:ascii="仿宋_GB2312" w:hAnsi="仿宋_GB2312" w:cs="仿宋_GB2312" w:eastAsia="仿宋_GB2312"/>
              </w:rPr>
              <w:t xml:space="preserve">万及以下            </w:t>
            </w:r>
            <w:r>
              <w:rPr>
                <w:rFonts w:ascii="仿宋_GB2312" w:hAnsi="仿宋_GB2312" w:cs="仿宋_GB2312" w:eastAsia="仿宋_GB2312"/>
              </w:rPr>
              <w:t>5</w:t>
            </w:r>
            <w:r>
              <w:rPr>
                <w:rFonts w:ascii="仿宋_GB2312" w:hAnsi="仿宋_GB2312" w:cs="仿宋_GB2312" w:eastAsia="仿宋_GB2312"/>
              </w:rPr>
              <w:t>个工作日</w:t>
            </w:r>
          </w:p>
          <w:p>
            <w:pPr>
              <w:pStyle w:val="null3"/>
            </w:pPr>
            <w:r>
              <w:rPr>
                <w:rFonts w:ascii="仿宋_GB2312" w:hAnsi="仿宋_GB2312" w:cs="仿宋_GB2312" w:eastAsia="仿宋_GB2312"/>
              </w:rPr>
              <w:t>50 - 100</w:t>
            </w:r>
            <w:r>
              <w:rPr>
                <w:rFonts w:ascii="仿宋_GB2312" w:hAnsi="仿宋_GB2312" w:cs="仿宋_GB2312" w:eastAsia="仿宋_GB2312"/>
              </w:rPr>
              <w:t xml:space="preserve">万及以下     </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7</w:t>
            </w:r>
            <w:r>
              <w:rPr>
                <w:rFonts w:ascii="仿宋_GB2312" w:hAnsi="仿宋_GB2312" w:cs="仿宋_GB2312" w:eastAsia="仿宋_GB2312"/>
              </w:rPr>
              <w:t>个工作日</w:t>
            </w:r>
          </w:p>
          <w:p>
            <w:pPr>
              <w:pStyle w:val="null3"/>
            </w:pPr>
            <w:r>
              <w:rPr>
                <w:rFonts w:ascii="仿宋_GB2312" w:hAnsi="仿宋_GB2312" w:cs="仿宋_GB2312" w:eastAsia="仿宋_GB2312"/>
              </w:rPr>
              <w:t>100</w:t>
            </w:r>
            <w:r>
              <w:rPr>
                <w:rFonts w:ascii="仿宋_GB2312" w:hAnsi="仿宋_GB2312" w:cs="仿宋_GB2312" w:eastAsia="仿宋_GB2312"/>
              </w:rPr>
              <w:t xml:space="preserve">万以上             </w:t>
            </w:r>
            <w:r>
              <w:rPr>
                <w:rFonts w:ascii="仿宋_GB2312" w:hAnsi="仿宋_GB2312" w:cs="仿宋_GB2312" w:eastAsia="仿宋_GB2312"/>
              </w:rPr>
              <w:t>10</w:t>
            </w:r>
            <w:r>
              <w:rPr>
                <w:rFonts w:ascii="仿宋_GB2312" w:hAnsi="仿宋_GB2312" w:cs="仿宋_GB2312" w:eastAsia="仿宋_GB2312"/>
              </w:rPr>
              <w:t>个工作日</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九</w:t>
            </w:r>
            <w:r>
              <w:rPr>
                <w:rFonts w:ascii="仿宋_GB2312" w:hAnsi="仿宋_GB2312" w:cs="仿宋_GB2312" w:eastAsia="仿宋_GB2312"/>
              </w:rPr>
              <w:t>）回访服务</w:t>
            </w:r>
          </w:p>
          <w:p>
            <w:pPr>
              <w:pStyle w:val="null3"/>
            </w:pPr>
            <w:r>
              <w:rPr>
                <w:rFonts w:ascii="仿宋_GB2312" w:hAnsi="仿宋_GB2312" w:cs="仿宋_GB2312" w:eastAsia="仿宋_GB2312"/>
              </w:rPr>
              <w:t>供应商</w:t>
            </w:r>
            <w:r>
              <w:rPr>
                <w:rFonts w:ascii="仿宋_GB2312" w:hAnsi="仿宋_GB2312" w:cs="仿宋_GB2312" w:eastAsia="仿宋_GB2312"/>
              </w:rPr>
              <w:t>须建立季度回访机制，包括承保回访、结案回访、投诉满意度回访、增值服务满意度回访、未出现客户定期回访等，并组建项目专属回访队伍，定期对被保险人进行走访，针对回访过程发现的问题及时纠正。</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十</w:t>
            </w:r>
            <w:r>
              <w:rPr>
                <w:rFonts w:ascii="仿宋_GB2312" w:hAnsi="仿宋_GB2312" w:cs="仿宋_GB2312" w:eastAsia="仿宋_GB2312"/>
              </w:rPr>
              <w:t>）培训服务</w:t>
            </w:r>
          </w:p>
          <w:p>
            <w:pPr>
              <w:pStyle w:val="null3"/>
            </w:pPr>
            <w:r>
              <w:rPr>
                <w:rFonts w:ascii="仿宋_GB2312" w:hAnsi="仿宋_GB2312" w:cs="仿宋_GB2312" w:eastAsia="仿宋_GB2312"/>
              </w:rPr>
              <w:t>供应商</w:t>
            </w:r>
            <w:r>
              <w:rPr>
                <w:rFonts w:ascii="仿宋_GB2312" w:hAnsi="仿宋_GB2312" w:cs="仿宋_GB2312" w:eastAsia="仿宋_GB2312"/>
              </w:rPr>
              <w:t>须建立季度培训机制，主要针对明确合同内容，承保和理赔细节，安全生产意识，风险防控理念进行培训。</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（十</w:t>
            </w:r>
            <w:r>
              <w:rPr>
                <w:rFonts w:ascii="仿宋_GB2312" w:hAnsi="仿宋_GB2312" w:cs="仿宋_GB2312" w:eastAsia="仿宋_GB2312"/>
              </w:rPr>
              <w:t>一</w:t>
            </w:r>
            <w:r>
              <w:rPr>
                <w:rFonts w:ascii="仿宋_GB2312" w:hAnsi="仿宋_GB2312" w:cs="仿宋_GB2312" w:eastAsia="仿宋_GB2312"/>
              </w:rPr>
              <w:t>）完整管理制度</w:t>
            </w:r>
          </w:p>
          <w:p>
            <w:pPr>
              <w:pStyle w:val="null3"/>
            </w:pPr>
            <w:r>
              <w:rPr>
                <w:rFonts w:ascii="仿宋_GB2312" w:hAnsi="仿宋_GB2312" w:cs="仿宋_GB2312" w:eastAsia="仿宋_GB2312"/>
              </w:rPr>
              <w:t>供应商</w:t>
            </w:r>
            <w:r>
              <w:rPr>
                <w:rFonts w:ascii="仿宋_GB2312" w:hAnsi="仿宋_GB2312" w:cs="仿宋_GB2312" w:eastAsia="仿宋_GB2312"/>
              </w:rPr>
              <w:t>须具有健全的规章制度，含反商业贿赂、出单、保费收取、报案、查勘、定损、理赔、财务管理、业务操作流程等。</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十二</w:t>
            </w:r>
            <w:r>
              <w:rPr>
                <w:rFonts w:ascii="仿宋_GB2312" w:hAnsi="仿宋_GB2312" w:cs="仿宋_GB2312" w:eastAsia="仿宋_GB2312"/>
              </w:rPr>
              <w:t>）其他</w:t>
            </w:r>
            <w:r>
              <w:rPr>
                <w:rFonts w:ascii="仿宋_GB2312" w:hAnsi="仿宋_GB2312" w:cs="仿宋_GB2312" w:eastAsia="仿宋_GB2312"/>
              </w:rPr>
              <w:t>服务要求</w:t>
            </w:r>
          </w:p>
          <w:p>
            <w:pPr>
              <w:pStyle w:val="null3"/>
            </w:pPr>
            <w:r>
              <w:rPr>
                <w:rFonts w:ascii="仿宋_GB2312" w:hAnsi="仿宋_GB2312" w:cs="仿宋_GB2312" w:eastAsia="仿宋_GB2312"/>
              </w:rPr>
              <w:t>1.</w:t>
            </w:r>
            <w:r>
              <w:rPr>
                <w:rFonts w:ascii="仿宋_GB2312" w:hAnsi="仿宋_GB2312" w:cs="仿宋_GB2312" w:eastAsia="仿宋_GB2312"/>
              </w:rPr>
              <w:t>供应商</w:t>
            </w:r>
            <w:r>
              <w:rPr>
                <w:rFonts w:ascii="仿宋_GB2312" w:hAnsi="仿宋_GB2312" w:cs="仿宋_GB2312" w:eastAsia="仿宋_GB2312"/>
              </w:rPr>
              <w:t>按国家相关规定对相关档案进行保存，保障相关记录可追溯。</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十二</w:t>
            </w:r>
            <w:r>
              <w:rPr>
                <w:rFonts w:ascii="仿宋_GB2312" w:hAnsi="仿宋_GB2312" w:cs="仿宋_GB2312" w:eastAsia="仿宋_GB2312"/>
              </w:rPr>
              <w:t>）其他</w:t>
            </w:r>
            <w:r>
              <w:rPr>
                <w:rFonts w:ascii="仿宋_GB2312" w:hAnsi="仿宋_GB2312" w:cs="仿宋_GB2312" w:eastAsia="仿宋_GB2312"/>
              </w:rPr>
              <w:t>服务要求</w:t>
            </w:r>
          </w:p>
          <w:p>
            <w:pPr>
              <w:pStyle w:val="null3"/>
            </w:pPr>
            <w:r>
              <w:rPr>
                <w:rFonts w:ascii="仿宋_GB2312" w:hAnsi="仿宋_GB2312" w:cs="仿宋_GB2312" w:eastAsia="仿宋_GB2312"/>
              </w:rPr>
              <w:t>2.</w:t>
            </w:r>
            <w:r>
              <w:rPr>
                <w:rFonts w:ascii="仿宋_GB2312" w:hAnsi="仿宋_GB2312" w:cs="仿宋_GB2312" w:eastAsia="仿宋_GB2312"/>
              </w:rPr>
              <w:t>供应商</w:t>
            </w:r>
            <w:r>
              <w:rPr>
                <w:rFonts w:ascii="仿宋_GB2312" w:hAnsi="仿宋_GB2312" w:cs="仿宋_GB2312" w:eastAsia="仿宋_GB2312"/>
              </w:rPr>
              <w:t>成立项目专项服务组，积极配合项目各方开展工作，不定期召开联席会议，加强沟通协作；对参保机构与工作人员加强保险政策宣传和培训，合同期内须举办</w:t>
            </w:r>
            <w:r>
              <w:rPr>
                <w:rFonts w:ascii="仿宋_GB2312" w:hAnsi="仿宋_GB2312" w:cs="仿宋_GB2312" w:eastAsia="仿宋_GB2312"/>
              </w:rPr>
              <w:t>1-2</w:t>
            </w:r>
            <w:r>
              <w:rPr>
                <w:rFonts w:ascii="仿宋_GB2312" w:hAnsi="仿宋_GB2312" w:cs="仿宋_GB2312" w:eastAsia="仿宋_GB2312"/>
              </w:rPr>
              <w:t>次集中宣传培训，通过制作宣传海报、视频、宣传折页、面对面宣讲、案例分析、安全知识讲解等方式向被参保对象宣传该保险及保障内容等，提高被参保对象对该保险及保障内容的知晓率。</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十二</w:t>
            </w:r>
            <w:r>
              <w:rPr>
                <w:rFonts w:ascii="仿宋_GB2312" w:hAnsi="仿宋_GB2312" w:cs="仿宋_GB2312" w:eastAsia="仿宋_GB2312"/>
              </w:rPr>
              <w:t>）其他</w:t>
            </w:r>
            <w:r>
              <w:rPr>
                <w:rFonts w:ascii="仿宋_GB2312" w:hAnsi="仿宋_GB2312" w:cs="仿宋_GB2312" w:eastAsia="仿宋_GB2312"/>
              </w:rPr>
              <w:t>服务要求</w:t>
            </w:r>
          </w:p>
          <w:p>
            <w:pPr>
              <w:pStyle w:val="null3"/>
            </w:pPr>
            <w:r>
              <w:rPr>
                <w:rFonts w:ascii="仿宋_GB2312" w:hAnsi="仿宋_GB2312" w:cs="仿宋_GB2312" w:eastAsia="仿宋_GB2312"/>
              </w:rPr>
              <w:t>3.</w:t>
            </w:r>
            <w:r>
              <w:rPr>
                <w:rFonts w:ascii="仿宋_GB2312" w:hAnsi="仿宋_GB2312" w:cs="仿宋_GB2312" w:eastAsia="仿宋_GB2312"/>
              </w:rPr>
              <w:t>不按规定签订或者履行合同的措施</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凡</w:t>
            </w:r>
            <w:r>
              <w:rPr>
                <w:rFonts w:ascii="仿宋_GB2312" w:hAnsi="仿宋_GB2312" w:cs="仿宋_GB2312" w:eastAsia="仿宋_GB2312"/>
              </w:rPr>
              <w:t>供应商</w:t>
            </w:r>
            <w:r>
              <w:rPr>
                <w:rFonts w:ascii="仿宋_GB2312" w:hAnsi="仿宋_GB2312" w:cs="仿宋_GB2312" w:eastAsia="仿宋_GB2312"/>
              </w:rPr>
              <w:t>与采购人签订的合同执行过程中发生的一切争议，</w:t>
            </w:r>
            <w:r>
              <w:rPr>
                <w:rFonts w:ascii="仿宋_GB2312" w:hAnsi="仿宋_GB2312" w:cs="仿宋_GB2312" w:eastAsia="仿宋_GB2312"/>
              </w:rPr>
              <w:t>供应商</w:t>
            </w:r>
            <w:r>
              <w:rPr>
                <w:rFonts w:ascii="仿宋_GB2312" w:hAnsi="仿宋_GB2312" w:cs="仿宋_GB2312" w:eastAsia="仿宋_GB2312"/>
              </w:rPr>
              <w:t>与采购人应首先友好协商解决，如不能解决，则提交项目所在地有管辖权的人民法院按中华人民共和国的有关法律法规及诉讼程序处理，诉讼费由败诉方承担。</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如果</w:t>
            </w:r>
            <w:r>
              <w:rPr>
                <w:rFonts w:ascii="仿宋_GB2312" w:hAnsi="仿宋_GB2312" w:cs="仿宋_GB2312" w:eastAsia="仿宋_GB2312"/>
              </w:rPr>
              <w:t>供应商</w:t>
            </w:r>
            <w:r>
              <w:rPr>
                <w:rFonts w:ascii="仿宋_GB2312" w:hAnsi="仿宋_GB2312" w:cs="仿宋_GB2312" w:eastAsia="仿宋_GB2312"/>
              </w:rPr>
              <w:t>对本合同的履行因任何不可抗力的原因而延迟，则</w:t>
            </w:r>
            <w:r>
              <w:rPr>
                <w:rFonts w:ascii="仿宋_GB2312" w:hAnsi="仿宋_GB2312" w:cs="仿宋_GB2312" w:eastAsia="仿宋_GB2312"/>
              </w:rPr>
              <w:t>供应商</w:t>
            </w:r>
            <w:r>
              <w:rPr>
                <w:rFonts w:ascii="仿宋_GB2312" w:hAnsi="仿宋_GB2312" w:cs="仿宋_GB2312" w:eastAsia="仿宋_GB2312"/>
              </w:rPr>
              <w:t>履行合同的时间也应作相应延迟，该不可抗力包括但不限于火灾、洪水、罢工、动乱及国内紧急情况。如因不可抗力延迟时间超过</w:t>
            </w:r>
            <w:r>
              <w:rPr>
                <w:rFonts w:ascii="仿宋_GB2312" w:hAnsi="仿宋_GB2312" w:cs="仿宋_GB2312" w:eastAsia="仿宋_GB2312"/>
              </w:rPr>
              <w:t>90</w:t>
            </w:r>
            <w:r>
              <w:rPr>
                <w:rFonts w:ascii="仿宋_GB2312" w:hAnsi="仿宋_GB2312" w:cs="仿宋_GB2312" w:eastAsia="仿宋_GB2312"/>
              </w:rPr>
              <w:t>天，双方可选择终止（解除）合同。</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其他可能导致风险发生的情形，</w:t>
            </w:r>
            <w:r>
              <w:rPr>
                <w:rFonts w:ascii="仿宋_GB2312" w:hAnsi="仿宋_GB2312" w:cs="仿宋_GB2312" w:eastAsia="仿宋_GB2312"/>
              </w:rPr>
              <w:t>供应商</w:t>
            </w:r>
            <w:r>
              <w:rPr>
                <w:rFonts w:ascii="仿宋_GB2312" w:hAnsi="仿宋_GB2312" w:cs="仿宋_GB2312" w:eastAsia="仿宋_GB2312"/>
              </w:rPr>
              <w:t>与采购人应当积极协商解决。</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十二</w:t>
            </w:r>
            <w:r>
              <w:rPr>
                <w:rFonts w:ascii="仿宋_GB2312" w:hAnsi="仿宋_GB2312" w:cs="仿宋_GB2312" w:eastAsia="仿宋_GB2312"/>
              </w:rPr>
              <w:t>）其他</w:t>
            </w:r>
            <w:r>
              <w:rPr>
                <w:rFonts w:ascii="仿宋_GB2312" w:hAnsi="仿宋_GB2312" w:cs="仿宋_GB2312" w:eastAsia="仿宋_GB2312"/>
              </w:rPr>
              <w:t>服务要求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保密要求：按照国家规定履约保密责任和义务。</w:t>
            </w:r>
            <w:r>
              <w:rPr>
                <w:rFonts w:ascii="仿宋_GB2312" w:hAnsi="仿宋_GB2312" w:cs="仿宋_GB2312" w:eastAsia="仿宋_GB2312"/>
                <w:sz w:val="21"/>
              </w:rPr>
              <w:t>供应商</w:t>
            </w:r>
            <w:r>
              <w:rPr>
                <w:rFonts w:ascii="仿宋_GB2312" w:hAnsi="仿宋_GB2312" w:cs="仿宋_GB2312" w:eastAsia="仿宋_GB2312"/>
                <w:sz w:val="21"/>
              </w:rPr>
              <w:t>对采购人信</w:t>
            </w:r>
          </w:p>
          <w:p>
            <w:pPr>
              <w:pStyle w:val="null3"/>
              <w:jc w:val="both"/>
            </w:pPr>
            <w:r>
              <w:rPr>
                <w:rFonts w:ascii="仿宋_GB2312" w:hAnsi="仿宋_GB2312" w:cs="仿宋_GB2312" w:eastAsia="仿宋_GB2312"/>
                <w:sz w:val="21"/>
              </w:rPr>
              <w:t>息的保密义务，对在履行合同中掌握的一切采购人有关的信息予以保密，否则导致采购人信息（包括但不限于数据、资料、信息等）外泄的，赔偿由此给采购人造成的一切损失。</w:t>
            </w:r>
          </w:p>
          <w:p>
            <w:pPr>
              <w:pStyle w:val="null3"/>
              <w:jc w:val="both"/>
            </w:pP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w:t>
            </w:r>
            <w:r>
              <w:rPr>
                <w:rFonts w:ascii="仿宋_GB2312" w:hAnsi="仿宋_GB2312" w:cs="仿宋_GB2312" w:eastAsia="仿宋_GB2312"/>
              </w:rPr>
              <w:t>十二</w:t>
            </w:r>
            <w:r>
              <w:rPr>
                <w:rFonts w:ascii="仿宋_GB2312" w:hAnsi="仿宋_GB2312" w:cs="仿宋_GB2312" w:eastAsia="仿宋_GB2312"/>
              </w:rPr>
              <w:t>）其他</w:t>
            </w:r>
            <w:r>
              <w:rPr>
                <w:rFonts w:ascii="仿宋_GB2312" w:hAnsi="仿宋_GB2312" w:cs="仿宋_GB2312" w:eastAsia="仿宋_GB2312"/>
              </w:rPr>
              <w:t>服务要求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其他未尽事宜由供需双方在采购合同中详细约定</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p>
          <w:p>
            <w:pPr>
              <w:pStyle w:val="null3"/>
            </w:pPr>
            <w:r>
              <w:rPr>
                <w:rFonts w:ascii="仿宋_GB2312" w:hAnsi="仿宋_GB2312" w:cs="仿宋_GB2312" w:eastAsia="仿宋_GB2312"/>
              </w:rPr>
              <w:t>一、服务期限、地点及验收方式</w:t>
            </w:r>
          </w:p>
          <w:p>
            <w:pPr>
              <w:pStyle w:val="null3"/>
            </w:pP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自合同生效之日起，保险期限为两年。</w:t>
            </w:r>
          </w:p>
          <w:p>
            <w:pPr>
              <w:pStyle w:val="null3"/>
            </w:pPr>
            <w:r>
              <w:rPr>
                <w:rFonts w:ascii="仿宋_GB2312" w:hAnsi="仿宋_GB2312" w:cs="仿宋_GB2312" w:eastAsia="仿宋_GB2312"/>
              </w:rPr>
              <w:t>服务地点：采购人指定地点。</w:t>
            </w:r>
          </w:p>
          <w:p>
            <w:pPr>
              <w:pStyle w:val="null3"/>
            </w:pPr>
            <w:r>
              <w:rPr>
                <w:rFonts w:ascii="仿宋_GB2312" w:hAnsi="仿宋_GB2312" w:cs="仿宋_GB2312" w:eastAsia="仿宋_GB2312"/>
              </w:rPr>
              <w:t>二、报价要求</w:t>
            </w:r>
          </w:p>
          <w:p>
            <w:pPr>
              <w:pStyle w:val="null3"/>
            </w:pPr>
            <w:r>
              <w:rPr>
                <w:rFonts w:ascii="仿宋_GB2312" w:hAnsi="仿宋_GB2312" w:cs="仿宋_GB2312" w:eastAsia="仿宋_GB2312"/>
              </w:rPr>
              <w:t>本次报价须为人民币报价，报价为包干价，包含但不限于</w:t>
            </w:r>
            <w:r>
              <w:rPr>
                <w:rFonts w:ascii="仿宋_GB2312" w:hAnsi="仿宋_GB2312" w:cs="仿宋_GB2312" w:eastAsia="仿宋_GB2312"/>
              </w:rPr>
              <w:t>主险保费、附加险保费、</w:t>
            </w:r>
            <w:r>
              <w:rPr>
                <w:rFonts w:ascii="仿宋_GB2312" w:hAnsi="仿宋_GB2312" w:cs="仿宋_GB2312" w:eastAsia="仿宋_GB2312"/>
              </w:rPr>
              <w:t>通讯费、交通费、税费等完成本项目的所有费用。因投标人自身原因造成漏报、少报皆由其自行承担责任，采购人不再补偿。</w:t>
            </w:r>
          </w:p>
          <w:p>
            <w:pPr>
              <w:pStyle w:val="null3"/>
            </w:pPr>
            <w:r>
              <w:rPr>
                <w:rFonts w:ascii="仿宋_GB2312" w:hAnsi="仿宋_GB2312" w:cs="仿宋_GB2312" w:eastAsia="仿宋_GB2312"/>
              </w:rPr>
              <w:t>三、付款方式</w:t>
            </w:r>
          </w:p>
          <w:p>
            <w:pPr>
              <w:pStyle w:val="null3"/>
            </w:pPr>
            <w:r>
              <w:rPr>
                <w:rFonts w:ascii="仿宋_GB2312" w:hAnsi="仿宋_GB2312" w:cs="仿宋_GB2312" w:eastAsia="仿宋_GB2312"/>
              </w:rPr>
              <w:t>合同签订后 ，达到付款条件起 90 日内，支付合同总金额的 50.00%。</w:t>
            </w:r>
          </w:p>
          <w:p>
            <w:pPr>
              <w:pStyle w:val="null3"/>
            </w:pPr>
            <w:r>
              <w:rPr>
                <w:rFonts w:ascii="仿宋_GB2312" w:hAnsi="仿宋_GB2312" w:cs="仿宋_GB2312" w:eastAsia="仿宋_GB2312"/>
              </w:rPr>
              <w:t>2026年财政预算下达后 ，达到付款条件起 90 日内，支付合同总金额的 50.00%。</w:t>
            </w:r>
          </w:p>
          <w:p>
            <w:pPr>
              <w:pStyle w:val="null3"/>
            </w:pPr>
            <w:r>
              <w:rPr>
                <w:rFonts w:ascii="仿宋_GB2312" w:hAnsi="仿宋_GB2312" w:cs="仿宋_GB2312" w:eastAsia="仿宋_GB2312"/>
              </w:rPr>
              <w:t>四、知识产权</w:t>
            </w:r>
          </w:p>
          <w:p>
            <w:pPr>
              <w:pStyle w:val="null3"/>
            </w:pPr>
            <w:r>
              <w:rPr>
                <w:rFonts w:ascii="仿宋_GB2312" w:hAnsi="仿宋_GB2312" w:cs="仿宋_GB2312" w:eastAsia="仿宋_GB2312"/>
              </w:rPr>
              <w:t>采购人在中华人民共和国境内使用</w:t>
            </w:r>
            <w:r>
              <w:rPr>
                <w:rFonts w:ascii="仿宋_GB2312" w:hAnsi="仿宋_GB2312" w:cs="仿宋_GB2312" w:eastAsia="仿宋_GB2312"/>
              </w:rPr>
              <w:t>供应商</w:t>
            </w:r>
            <w:r>
              <w:rPr>
                <w:rFonts w:ascii="仿宋_GB2312" w:hAnsi="仿宋_GB2312" w:cs="仿宋_GB2312" w:eastAsia="仿宋_GB2312"/>
              </w:rPr>
              <w:t>提供的项目内容及服务时免受第三方提出的侵犯其专利权或其它知识产权的起诉。如果第三方提出侵权指控，</w:t>
            </w:r>
            <w:r>
              <w:rPr>
                <w:rFonts w:ascii="仿宋_GB2312" w:hAnsi="仿宋_GB2312" w:cs="仿宋_GB2312" w:eastAsia="仿宋_GB2312"/>
              </w:rPr>
              <w:t>供应商</w:t>
            </w:r>
            <w:r>
              <w:rPr>
                <w:rFonts w:ascii="仿宋_GB2312" w:hAnsi="仿宋_GB2312" w:cs="仿宋_GB2312" w:eastAsia="仿宋_GB2312"/>
              </w:rPr>
              <w:t>应承担由此而引起的一切法律责任和费用。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服务期限:自合同生效之日起，保险期限为两年。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2026年财政预算下达后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按招标文件、响应文件及合同相关条款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 提供注册登记凭证（营业执照、其他组织经营的合法凭证）； （2）具有良好的商业信誉和健全的财务会计制度 ①2023年度或2024年度经审计的赋码财务报告（即提供由注册会计师行业统一监管平台赋码的经审计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企业所得税缴费凭据或税务机关出具的完税证明；/在法规范围内不需提供的应出具书面说明和证明文件；（以上二种形式的资料提供任何一种即可）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以上二种形式的资料提供任何一种即可） （6）参加政府采购活动前3年内在经营活动中没有重大违法记录的书面声明； （7）法人代表授权书，同时须提供被授权人投标截止时间前3个月内（投标截止时间当月不计入）的缴费凭据或社保机关出具的缴费证明（若法人直接投标则需要提供法定代表人身份证明即可）。</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1.投标人具有银行保险监督管理委员会颁发的保险许可证或经营保险业务许可证。（提供证书复印件） 2.若投标人是商业保险集团（总公司）授权的分公司参与投标，只接受商业保险集团（总公司）授权的一家分公司参与投标（说明：若总公司与分公司同时参与本项目投标或总公司授权两家及以上分公司同时参与本项目投标，相关投标均按无效投标处理）。（提供授权书复印件）</w:t>
            </w:r>
          </w:p>
        </w:tc>
        <w:tc>
          <w:tcPr>
            <w:tcW w:type="dxa" w:w="1661"/>
          </w:tcPr>
          <w:p>
            <w:pPr>
              <w:pStyle w:val="null3"/>
            </w:pPr>
            <w:r>
              <w:rPr>
                <w:rFonts w:ascii="仿宋_GB2312" w:hAnsi="仿宋_GB2312" w:cs="仿宋_GB2312" w:eastAsia="仿宋_GB2312"/>
              </w:rPr>
              <w:t>资格部分.docx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 投标文件内容是否符合国家法律法规。</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商务技术部分.docx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服务要求响应7分，响应内容清晰、明确，满足招标文件要求的得7分，“▲”号条款每负偏离一项扣1分，扣完为止。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组织保障方案</w:t>
            </w:r>
          </w:p>
        </w:tc>
        <w:tc>
          <w:tcPr>
            <w:tcW w:type="dxa" w:w="2492"/>
          </w:tcPr>
          <w:p>
            <w:pPr>
              <w:pStyle w:val="null3"/>
            </w:pPr>
            <w:r>
              <w:rPr>
                <w:rFonts w:ascii="仿宋_GB2312" w:hAnsi="仿宋_GB2312" w:cs="仿宋_GB2312" w:eastAsia="仿宋_GB2312"/>
              </w:rPr>
              <w:t>投标人针对本项目提供完整的组织保障方案，内容包含但不限于：成立领导小组、工作小组、承保区设有快速服务响应的网点机构并配备专职工作人员；保险政策宣传协调工作等。 方案内容不存在瑕疵，得12分，方案内容存在1处瑕疵，得8分，方案内容存在2处瑕疵，得4分，方案内容存在3处及以上瑕疵或未提供方案得0分。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承保理赔服务方案</w:t>
            </w:r>
          </w:p>
        </w:tc>
        <w:tc>
          <w:tcPr>
            <w:tcW w:type="dxa" w:w="2492"/>
          </w:tcPr>
          <w:p>
            <w:pPr>
              <w:pStyle w:val="null3"/>
            </w:pPr>
            <w:r>
              <w:rPr>
                <w:rFonts w:ascii="仿宋_GB2312" w:hAnsi="仿宋_GB2312" w:cs="仿宋_GB2312" w:eastAsia="仿宋_GB2312"/>
              </w:rPr>
              <w:t>投标人针对本项目提供完整的理赔服务方案，内容包含但不限于：承保理赔程序的时效性、便捷性、突发事件处理等。 方案内容不存在瑕疵，得15分，方案内容存在1处瑕疵，得10分，方案内容存在2处瑕疵，得5分，方案内容存在3处及以上瑕疵或未提供方案得0分。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增值服务方案</w:t>
            </w:r>
          </w:p>
        </w:tc>
        <w:tc>
          <w:tcPr>
            <w:tcW w:type="dxa" w:w="2492"/>
          </w:tcPr>
          <w:p>
            <w:pPr>
              <w:pStyle w:val="null3"/>
            </w:pPr>
            <w:r>
              <w:rPr>
                <w:rFonts w:ascii="仿宋_GB2312" w:hAnsi="仿宋_GB2312" w:cs="仿宋_GB2312" w:eastAsia="仿宋_GB2312"/>
              </w:rPr>
              <w:t>投标人针对本项目提供完整的增值服务方案，内容包含但不限于：定期回访服务、额外增值服务、对托育机构进行专项培训、便捷的线上服务方案等。 方案内容不存在瑕疵，完全有利于托育机构更好开展工作的得10分，方案内容存在1处瑕疵，得6分，方案内容存在2处瑕疵，得2分，方案内容存在3处及以上瑕疵或未提供方案得0分。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公司内控制度保障</w:t>
            </w:r>
          </w:p>
        </w:tc>
        <w:tc>
          <w:tcPr>
            <w:tcW w:type="dxa" w:w="2492"/>
          </w:tcPr>
          <w:p>
            <w:pPr>
              <w:pStyle w:val="null3"/>
            </w:pPr>
            <w:r>
              <w:rPr>
                <w:rFonts w:ascii="仿宋_GB2312" w:hAnsi="仿宋_GB2312" w:cs="仿宋_GB2312" w:eastAsia="仿宋_GB2312"/>
              </w:rPr>
              <w:t>1.投标人需要有完整的公司内部管控制度，包括承保、理赔作业、消费者权益、违规处罚等制度。 2.投标人可提供的制度完全有利于托育机构更好开展工作的得6分，方案内容存在1处瑕疵，得4分，方案内容存在2处瑕疵，得2分，方案内容存在3处及以上瑕疵或未提供方案得0分。 注：本项内容中所称的“瑕疵”指以下任意一种情形： ①方案内容表述不完整或缺少关键分析点； ②方案内容科学合理性或针对性或实用性不强； ③方案内容表述前后矛盾、无连贯性、内容存在逻辑漏洞、常识性错误； ④方案内容部分并不适用本项目特性或非专门针对本项目制定； ⑤方案部分内容与本项目关联度不高或不适用于本项目或不利于本项目的实施。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1.企业综合实力</w:t>
            </w:r>
          </w:p>
        </w:tc>
        <w:tc>
          <w:tcPr>
            <w:tcW w:type="dxa" w:w="2492"/>
          </w:tcPr>
          <w:p>
            <w:pPr>
              <w:pStyle w:val="null3"/>
            </w:pPr>
            <w:r>
              <w:rPr>
                <w:rFonts w:ascii="仿宋_GB2312" w:hAnsi="仿宋_GB2312" w:cs="仿宋_GB2312" w:eastAsia="仿宋_GB2312"/>
              </w:rPr>
              <w:t>偿付能力风险管理要求与评估（SARMRA） 提供投标人所取得的最新一个季度偿付能力风险管理要求与评估（SARMRA）： （1）SARMRA评分＞85，得15分； （2）SARMRA评分在80（含）-85范围内，得8分； （3）SARMRA评分在75（含）-80范围内，得2分； （4）SARMRA评分＜75，不得分。 提供投标人所取得的最新一个季度原银保监印发的SARMRA评估意见书相关证明材料并加盖公章，未提供不得分。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2.企业综合实力</w:t>
            </w:r>
          </w:p>
        </w:tc>
        <w:tc>
          <w:tcPr>
            <w:tcW w:type="dxa" w:w="2492"/>
          </w:tcPr>
          <w:p>
            <w:pPr>
              <w:pStyle w:val="null3"/>
            </w:pPr>
            <w:r>
              <w:rPr>
                <w:rFonts w:ascii="仿宋_GB2312" w:hAnsi="仿宋_GB2312" w:cs="仿宋_GB2312" w:eastAsia="仿宋_GB2312"/>
              </w:rPr>
              <w:t>风险综合评级 提供2024年四季度的国家金融监督管理总局对投标人总公司的风险综合评级。 （1）A级得10分， （2）B级得5分， （3）C级得2分， （4）D级及以下不得分。 提供国家金融监督管理总局公布的投标人总公司风险综合评级报告，复印件并加盖投标人公章。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3.企业综合实力</w:t>
            </w:r>
          </w:p>
        </w:tc>
        <w:tc>
          <w:tcPr>
            <w:tcW w:type="dxa" w:w="2492"/>
          </w:tcPr>
          <w:p>
            <w:pPr>
              <w:pStyle w:val="null3"/>
            </w:pPr>
            <w:r>
              <w:rPr>
                <w:rFonts w:ascii="仿宋_GB2312" w:hAnsi="仿宋_GB2312" w:cs="仿宋_GB2312" w:eastAsia="仿宋_GB2312"/>
              </w:rPr>
              <w:t>保险消费投诉情况 提供2024年四季度的亿元保费投诉量情况： （1）亿元保费投诉量（件/亿元）&lt;0.2，得15分； （2）亿元保费投诉量（件/亿元）在0.2（含）-0.5范围内，得8分； （3）亿元保费投诉量（件/亿元）在0.5（含）-1范围内，得2分； （4）其他情况不得分。 需提供国家金融监督管理总局金融消保局发布的通报文件并加盖公章，未提供不得分。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 其他投标人的价格分统一按照下列公式计算： 投标报价得分=(评标基准价／投标报价)×10。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