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版本号：E-254032XA008-1020250814001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学生公寓消防连廊及烟感报警项目监理服务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E-254032XA008-10</w:t>
      </w:r>
      <w:r>
        <w:br/>
      </w:r>
      <w:r>
        <w:br/>
      </w:r>
      <w:r>
        <w:br/>
      </w:r>
    </w:p>
    <w:p>
      <w:pPr>
        <w:pStyle w:val="null3"/>
        <w:jc w:val="center"/>
        <w:outlineLvl w:val="2"/>
      </w:pPr>
      <w:r>
        <w:rPr>
          <w:rFonts w:ascii="仿宋_GB2312" w:hAnsi="仿宋_GB2312" w:cs="仿宋_GB2312" w:eastAsia="仿宋_GB2312"/>
          <w:sz w:val="28"/>
          <w:b/>
        </w:rPr>
        <w:t>西安旅游职业中等专业学校</w:t>
      </w:r>
    </w:p>
    <w:p>
      <w:pPr>
        <w:pStyle w:val="null3"/>
        <w:jc w:val="center"/>
        <w:outlineLvl w:val="2"/>
      </w:pPr>
      <w:r>
        <w:rPr>
          <w:rFonts w:ascii="仿宋_GB2312" w:hAnsi="仿宋_GB2312" w:cs="仿宋_GB2312" w:eastAsia="仿宋_GB2312"/>
          <w:sz w:val="28"/>
          <w:b/>
        </w:rPr>
        <w:t>中航技（北京）工程管理有限公司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中航技（北京）工程管理有限公司</w:t>
      </w:r>
      <w:r>
        <w:rPr>
          <w:rFonts w:ascii="仿宋_GB2312" w:hAnsi="仿宋_GB2312" w:cs="仿宋_GB2312" w:eastAsia="仿宋_GB2312"/>
        </w:rPr>
        <w:t>（以下简称“代理机构”）受</w:t>
      </w:r>
      <w:r>
        <w:rPr>
          <w:rFonts w:ascii="仿宋_GB2312" w:hAnsi="仿宋_GB2312" w:cs="仿宋_GB2312" w:eastAsia="仿宋_GB2312"/>
        </w:rPr>
        <w:t>西安旅游职业中等专业学校</w:t>
      </w:r>
      <w:r>
        <w:rPr>
          <w:rFonts w:ascii="仿宋_GB2312" w:hAnsi="仿宋_GB2312" w:cs="仿宋_GB2312" w:eastAsia="仿宋_GB2312"/>
        </w:rPr>
        <w:t>委托，拟对</w:t>
      </w:r>
      <w:r>
        <w:rPr>
          <w:rFonts w:ascii="仿宋_GB2312" w:hAnsi="仿宋_GB2312" w:cs="仿宋_GB2312" w:eastAsia="仿宋_GB2312"/>
        </w:rPr>
        <w:t>学生公寓消防连廊及烟感报警项目监理服务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E-254032XA008-10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学生公寓消防连廊及烟感报警项目监理服务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学生公寓消防连廊及烟感报警项目监理服务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采购包1（学生公寓消防连廊及烟感报警项目监理服务）：属于专门面向中小企业采购。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1、企业资质：供应商须具备建设行政主管部门颁发的工程监理综合资质或房屋建筑工程监理乙级及以上资质；</w:t>
      </w:r>
    </w:p>
    <w:p>
      <w:pPr>
        <w:pStyle w:val="null3"/>
      </w:pPr>
      <w:r>
        <w:rPr>
          <w:rFonts w:ascii="仿宋_GB2312" w:hAnsi="仿宋_GB2312" w:cs="仿宋_GB2312" w:eastAsia="仿宋_GB2312"/>
        </w:rPr>
        <w:t>2、项目总监：拟派项目总监需具备房屋建筑工程专业注册监理工程师，并在本单位注册；拟派项目总监理工程师有在监项目的，其在监项目不得超过2个（含2个），须出具在监项目建设单位的书面同意书；</w:t>
      </w:r>
    </w:p>
    <w:p>
      <w:pPr>
        <w:pStyle w:val="null3"/>
      </w:pPr>
      <w:r>
        <w:rPr>
          <w:rFonts w:ascii="仿宋_GB2312" w:hAnsi="仿宋_GB2312" w:cs="仿宋_GB2312" w:eastAsia="仿宋_GB2312"/>
        </w:rPr>
        <w:t>3、投标授权代表：法定代表人直接投标的，提交法定代表人证明 书及法定代表人合法有效的身份证扫描件，且 应与营业执照上信息一致；法定代表人授权代 表参加投标的，提交法定代表人授权委托书及 授权代表合法有效的身份证扫描件。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西安旅游职业中等专业学校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西安市长安区韦曲街道办事处西四府村甲字3号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029-85990844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中航技（北京）工程管理有限公司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西安市高新区沣惠南路34号摩尔中心A座24层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赵伟、杨晶莹、李静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029-89187077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[2002]1980号）和国 家发展改革委员会办公厅颁发的《关于招标代理服务收费有关问题的通 知》 （发改办价格[2003] 857号）的有关 规定标准下浮10%向采购代理机构一次付清代理服务费.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西安旅游职业中等专业学校</w:t>
      </w:r>
      <w:r>
        <w:rPr>
          <w:rFonts w:ascii="仿宋_GB2312" w:hAnsi="仿宋_GB2312" w:cs="仿宋_GB2312" w:eastAsia="仿宋_GB2312"/>
        </w:rPr>
        <w:t>和</w:t>
      </w:r>
      <w:r>
        <w:rPr>
          <w:rFonts w:ascii="仿宋_GB2312" w:hAnsi="仿宋_GB2312" w:cs="仿宋_GB2312" w:eastAsia="仿宋_GB2312"/>
        </w:rPr>
        <w:t>中航技（北京）工程管理有限公司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西安旅游职业中等专业学校</w:t>
      </w:r>
      <w:r>
        <w:rPr>
          <w:rFonts w:ascii="仿宋_GB2312" w:hAnsi="仿宋_GB2312" w:cs="仿宋_GB2312" w:eastAsia="仿宋_GB2312"/>
        </w:rPr>
        <w:t>负责解释。除上述磋商文件内容，其他内容由</w:t>
      </w:r>
      <w:r>
        <w:rPr>
          <w:rFonts w:ascii="仿宋_GB2312" w:hAnsi="仿宋_GB2312" w:cs="仿宋_GB2312" w:eastAsia="仿宋_GB2312"/>
        </w:rPr>
        <w:t>中航技（北京）工程管理有限公司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西安旅游职业中等专业学校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中航技（北京）工程管理有限公司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中航技（北京）工程管理有限公司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联系人：赵伟</w:t>
      </w:r>
    </w:p>
    <w:p>
      <w:pPr>
        <w:pStyle w:val="null3"/>
      </w:pPr>
      <w:r>
        <w:rPr>
          <w:rFonts w:ascii="仿宋_GB2312" w:hAnsi="仿宋_GB2312" w:cs="仿宋_GB2312" w:eastAsia="仿宋_GB2312"/>
        </w:rPr>
        <w:t>联系电话：029-89187077</w:t>
      </w:r>
    </w:p>
    <w:p>
      <w:pPr>
        <w:pStyle w:val="null3"/>
      </w:pPr>
      <w:r>
        <w:rPr>
          <w:rFonts w:ascii="仿宋_GB2312" w:hAnsi="仿宋_GB2312" w:cs="仿宋_GB2312" w:eastAsia="仿宋_GB2312"/>
        </w:rPr>
        <w:t>地址：陕西省西安市高新区沣惠南路34号摩尔中心A座24层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学生公寓消防连廊及烟感报警项目监理服务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w:t>
      </w:r>
    </w:p>
    <w:p>
      <w:pPr>
        <w:pStyle w:val="null3"/>
      </w:pPr>
      <w:r>
        <w:rPr>
          <w:rFonts w:ascii="仿宋_GB2312" w:hAnsi="仿宋_GB2312" w:cs="仿宋_GB2312" w:eastAsia="仿宋_GB2312"/>
        </w:rPr>
        <w:t>采购包最高限价（元）: 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本校男生宿舍楼长28米、宽21米、共5层，高19.5米；女生宿舍楼长32米、宽21米、共6层，高21米。男、女生宿舍楼共6163㎡，可容纳1432名学生居住，目前处于饱和状态，属于人员密集区域，新增室内消防火灾报警系统及女生宿舍楼疏散楼梯。</w:t>
            </w:r>
            <w:r>
              <w:br/>
            </w:r>
            <w:r>
              <w:rPr>
                <w:rFonts w:ascii="仿宋_GB2312" w:hAnsi="仿宋_GB2312" w:cs="仿宋_GB2312" w:eastAsia="仿宋_GB2312"/>
              </w:rPr>
              <w:t xml:space="preserve"> 招生办公室建筑主体为拆除原有建筑，新建钢结构框架+砌体填充墙结构，总建筑面积149.12㎡，层数2层。主体结构完工后需完成后进行消防。</w:t>
            </w:r>
          </w:p>
          <w:p>
            <w:pPr>
              <w:pStyle w:val="null3"/>
            </w:pPr>
            <w:r>
              <w:rPr>
                <w:rFonts w:ascii="仿宋_GB2312" w:hAnsi="仿宋_GB2312" w:cs="仿宋_GB2312" w:eastAsia="仿宋_GB2312"/>
              </w:rPr>
              <w:t>以上工程的监理服务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根据采购文件采购要求执行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根据采购文件采购要求执行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服务质量：合格</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按照国家相关标准和磋商文件要求验收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中标之后预付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工程竣工验收合格后，按照决算审计报告付清剩余款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按照国家相关标准和磋商文件要求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建安工程费概算约2559435.67元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1）法人或者其他组织出具合法有效的营业执照或事业单位法人证书等国家规定的相关证明； 2 ）投标人应当提供2024年度经审计的财务报告复印件；或投标文件递交截止时间前6个月内任 意时间由银行出具的资信证明；或提供具有良好商业信誉和健全的财务会计制度的承诺函。（以上三种形式的资料提供任何一种即可） 3）投标文件递交截止时间前6个月内至少一个月的 纳税证明或完税证明（除个人所得税外的其他任意税种）；或提供具有依法纳税良好记录的 承诺函。以上两种形式的资料提供任何一种即可，依法免税的投标人应提供相关证明材料。 4）投标截止时间前6个月内至少一个月的社会保障资金缴存单据或社保机构开具的社会保险参保缴费情况证明；或提供具有依法缴纳社会保障资金良好记录的承诺函。以上两种形式的资料提供任何一种即可，依法不需要缴纳社会保障资金的投标人应提供相关证明材料； 5）提供“具备履行合同所必需的设备和专业技术能力的承诺函”； 6）提供“参加政府采购活动前3年内在经营活动中没有重大违法记录的书面声明”；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投标人应当提供2024年度经审计的财务报告复印件；或投标文件递交截止时间前6个月内任意 时间由银行出具的资信证明；或提供具有良好商业信誉和健全的财务会计制度的承诺函；</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供应商须具备建设行政主管部门颁发的工程监理综合资质或房屋建筑工程监理乙级及以上资质；</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项目总监</w:t>
            </w:r>
          </w:p>
        </w:tc>
        <w:tc>
          <w:tcPr>
            <w:tcW w:type="dxa" w:w="3322"/>
          </w:tcPr>
          <w:p>
            <w:pPr>
              <w:pStyle w:val="null3"/>
            </w:pPr>
            <w:r>
              <w:rPr>
                <w:rFonts w:ascii="仿宋_GB2312" w:hAnsi="仿宋_GB2312" w:cs="仿宋_GB2312" w:eastAsia="仿宋_GB2312"/>
              </w:rPr>
              <w:t>拟派项目总监需具备房屋建筑工程专业注册监理工程师，并在本单位注册；拟派项目总监理工程师有在监项目的，其在监项目不得超过2个（含2个），须出具在监项目建设单位的书面同意书；</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法定代表人直接投标的，提交法定代表人证明 书及法定代表人合法有效的身份证扫描件，且 应与营业执照上信息一致；法定代表人授权代 表参加投标的，提交法定代表人授权委托书及 授权代表合法有效的身份证扫描件。</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响应文件的签署、加盖印章合格、有效。</w:t>
            </w:r>
          </w:p>
        </w:tc>
        <w:tc>
          <w:tcPr>
            <w:tcW w:type="dxa" w:w="3322"/>
          </w:tcPr>
          <w:p>
            <w:pPr>
              <w:pStyle w:val="null3"/>
            </w:pPr>
            <w:r>
              <w:rPr>
                <w:rFonts w:ascii="仿宋_GB2312" w:hAnsi="仿宋_GB2312" w:cs="仿宋_GB2312" w:eastAsia="仿宋_GB2312"/>
              </w:rPr>
              <w:t>符合磋商文件要求，通过。</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磋商有效期符合磋商文件要求</w:t>
            </w:r>
          </w:p>
        </w:tc>
        <w:tc>
          <w:tcPr>
            <w:tcW w:type="dxa" w:w="3322"/>
          </w:tcPr>
          <w:p>
            <w:pPr>
              <w:pStyle w:val="null3"/>
            </w:pPr>
            <w:r>
              <w:rPr>
                <w:rFonts w:ascii="仿宋_GB2312" w:hAnsi="仿宋_GB2312" w:cs="仿宋_GB2312" w:eastAsia="仿宋_GB2312"/>
              </w:rPr>
              <w:t>符合磋商文件要求，通过。</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磋商报价未超过最高限价。</w:t>
            </w:r>
          </w:p>
        </w:tc>
        <w:tc>
          <w:tcPr>
            <w:tcW w:type="dxa" w:w="3322"/>
          </w:tcPr>
          <w:p>
            <w:pPr>
              <w:pStyle w:val="null3"/>
            </w:pPr>
            <w:r>
              <w:rPr>
                <w:rFonts w:ascii="仿宋_GB2312" w:hAnsi="仿宋_GB2312" w:cs="仿宋_GB2312" w:eastAsia="仿宋_GB2312"/>
              </w:rPr>
              <w:t>符合磋商文件要求，通过。</w:t>
            </w:r>
          </w:p>
        </w:tc>
        <w:tc>
          <w:tcPr>
            <w:tcW w:type="dxa" w:w="1661"/>
          </w:tcPr>
          <w:p>
            <w:pPr>
              <w:pStyle w:val="null3"/>
            </w:pPr>
            <w:r>
              <w:rPr>
                <w:rFonts w:ascii="仿宋_GB2312" w:hAnsi="仿宋_GB2312" w:cs="仿宋_GB2312" w:eastAsia="仿宋_GB2312"/>
              </w:rPr>
              <w:t>标的清单 报价表 磋商报价一览表.docx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监理服务期符合磋商文件要求</w:t>
            </w:r>
          </w:p>
        </w:tc>
        <w:tc>
          <w:tcPr>
            <w:tcW w:type="dxa" w:w="3322"/>
          </w:tcPr>
          <w:p>
            <w:pPr>
              <w:pStyle w:val="null3"/>
            </w:pPr>
            <w:r>
              <w:rPr>
                <w:rFonts w:ascii="仿宋_GB2312" w:hAnsi="仿宋_GB2312" w:cs="仿宋_GB2312" w:eastAsia="仿宋_GB2312"/>
              </w:rPr>
              <w:t>符合磋商文件要求，通过。</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服务质量要求符合磋商文件要求。</w:t>
            </w:r>
          </w:p>
        </w:tc>
        <w:tc>
          <w:tcPr>
            <w:tcW w:type="dxa" w:w="3322"/>
          </w:tcPr>
          <w:p>
            <w:pPr>
              <w:pStyle w:val="null3"/>
            </w:pPr>
            <w:r>
              <w:rPr>
                <w:rFonts w:ascii="仿宋_GB2312" w:hAnsi="仿宋_GB2312" w:cs="仿宋_GB2312" w:eastAsia="仿宋_GB2312"/>
              </w:rPr>
              <w:t>符合磋商文件要求，通过。</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磋商响应中没有出现磋商文件规定的其它无效文件情形。</w:t>
            </w:r>
          </w:p>
        </w:tc>
        <w:tc>
          <w:tcPr>
            <w:tcW w:type="dxa" w:w="3322"/>
          </w:tcPr>
          <w:p>
            <w:pPr>
              <w:pStyle w:val="null3"/>
            </w:pPr>
            <w:r>
              <w:rPr>
                <w:rFonts w:ascii="仿宋_GB2312" w:hAnsi="仿宋_GB2312" w:cs="仿宋_GB2312" w:eastAsia="仿宋_GB2312"/>
              </w:rPr>
              <w:t>符合磋商文件要求，通过。</w:t>
            </w:r>
          </w:p>
        </w:tc>
        <w:tc>
          <w:tcPr>
            <w:tcW w:type="dxa" w:w="1661"/>
          </w:tcPr>
          <w:p>
            <w:pPr>
              <w:pStyle w:val="null3"/>
            </w:pPr>
            <w:r>
              <w:rPr>
                <w:rFonts w:ascii="仿宋_GB2312" w:hAnsi="仿宋_GB2312" w:cs="仿宋_GB2312" w:eastAsia="仿宋_GB2312"/>
              </w:rPr>
              <w:t>响应文件封面 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总监理工程师</w:t>
            </w:r>
          </w:p>
        </w:tc>
        <w:tc>
          <w:tcPr>
            <w:tcW w:type="dxa" w:w="2492"/>
          </w:tcPr>
          <w:p>
            <w:pPr>
              <w:pStyle w:val="null3"/>
            </w:pPr>
            <w:r>
              <w:rPr>
                <w:rFonts w:ascii="仿宋_GB2312" w:hAnsi="仿宋_GB2312" w:cs="仿宋_GB2312" w:eastAsia="仿宋_GB2312"/>
              </w:rPr>
              <w:t>1、职称：具备建筑工程相关专业高级及以上职称得2分，中级职称得1分，其余不得分； 2、类似监理业绩，2020年1月起至今（以合同签订日期为准），每提供1个符合要求的业绩得2分，最高4分。 注：需提供总监职称证加盖公章，业绩需提供中标通知书或合同复印件加盖公章。（证明材料需体现项目经理名字，否则不予得分）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项目部人员</w:t>
            </w:r>
          </w:p>
        </w:tc>
        <w:tc>
          <w:tcPr>
            <w:tcW w:type="dxa" w:w="2492"/>
          </w:tcPr>
          <w:p>
            <w:pPr>
              <w:pStyle w:val="null3"/>
            </w:pPr>
            <w:r>
              <w:rPr>
                <w:rFonts w:ascii="仿宋_GB2312" w:hAnsi="仿宋_GB2312" w:cs="仿宋_GB2312" w:eastAsia="仿宋_GB2312"/>
              </w:rPr>
              <w:t>1、根据项目部人员专业、数量及工作经验等综合对比赋分（0-5分） 2、拟派项目组成员中，每提供一名中级及以上职称的人员得2分，每提供一名注册类执业证书的人员得3分，合计得分最高不得超过10分。 注：需提供人员注册执业证书或职称证书复印件作为评审依据，未提供不得分。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拟投入人员.docx</w:t>
            </w:r>
          </w:p>
        </w:tc>
      </w:tr>
      <w:tr>
        <w:tc>
          <w:tcPr>
            <w:tcW w:type="dxa" w:w="831"/>
            <w:vMerge/>
          </w:tcPr>
          <w:p/>
        </w:tc>
        <w:tc>
          <w:tcPr>
            <w:tcW w:type="dxa" w:w="1661"/>
          </w:tcPr>
          <w:p>
            <w:pPr>
              <w:pStyle w:val="null3"/>
            </w:pPr>
            <w:r>
              <w:rPr>
                <w:rFonts w:ascii="仿宋_GB2312" w:hAnsi="仿宋_GB2312" w:cs="仿宋_GB2312" w:eastAsia="仿宋_GB2312"/>
              </w:rPr>
              <w:t>监理检测设备</w:t>
            </w:r>
          </w:p>
        </w:tc>
        <w:tc>
          <w:tcPr>
            <w:tcW w:type="dxa" w:w="2492"/>
          </w:tcPr>
          <w:p>
            <w:pPr>
              <w:pStyle w:val="null3"/>
            </w:pPr>
            <w:r>
              <w:rPr>
                <w:rFonts w:ascii="仿宋_GB2312" w:hAnsi="仿宋_GB2312" w:cs="仿宋_GB2312" w:eastAsia="仿宋_GB2312"/>
              </w:rPr>
              <w:t>检测设备配置齐全，完全满足工程检测要求，得[3-6]分，基本满足得[0-3)分；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监理检测设备一览表.docx</w:t>
            </w:r>
          </w:p>
        </w:tc>
      </w:tr>
      <w:tr>
        <w:tc>
          <w:tcPr>
            <w:tcW w:type="dxa" w:w="831"/>
            <w:vMerge/>
          </w:tcPr>
          <w:p/>
        </w:tc>
        <w:tc>
          <w:tcPr>
            <w:tcW w:type="dxa" w:w="1661"/>
          </w:tcPr>
          <w:p>
            <w:pPr>
              <w:pStyle w:val="null3"/>
            </w:pPr>
            <w:r>
              <w:rPr>
                <w:rFonts w:ascii="仿宋_GB2312" w:hAnsi="仿宋_GB2312" w:cs="仿宋_GB2312" w:eastAsia="仿宋_GB2312"/>
              </w:rPr>
              <w:t>监理业绩</w:t>
            </w:r>
          </w:p>
        </w:tc>
        <w:tc>
          <w:tcPr>
            <w:tcW w:type="dxa" w:w="2492"/>
          </w:tcPr>
          <w:p>
            <w:pPr>
              <w:pStyle w:val="null3"/>
            </w:pPr>
            <w:r>
              <w:rPr>
                <w:rFonts w:ascii="仿宋_GB2312" w:hAnsi="仿宋_GB2312" w:cs="仿宋_GB2312" w:eastAsia="仿宋_GB2312"/>
              </w:rPr>
              <w:t>2020年1月至今具有类似项目业绩，每提供一份计2分，最高可得8分，以通知书或合同协议书为准。（总监业绩与企业业绩可重复）</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监理业绩一览表.docx</w:t>
            </w:r>
          </w:p>
        </w:tc>
      </w:tr>
      <w:tr>
        <w:tc>
          <w:tcPr>
            <w:tcW w:type="dxa" w:w="831"/>
            <w:vMerge/>
          </w:tcPr>
          <w:p/>
        </w:tc>
        <w:tc>
          <w:tcPr>
            <w:tcW w:type="dxa" w:w="1661"/>
          </w:tcPr>
          <w:p>
            <w:pPr>
              <w:pStyle w:val="null3"/>
            </w:pPr>
            <w:r>
              <w:rPr>
                <w:rFonts w:ascii="仿宋_GB2312" w:hAnsi="仿宋_GB2312" w:cs="仿宋_GB2312" w:eastAsia="仿宋_GB2312"/>
              </w:rPr>
              <w:t>监理工作制度、目标</w:t>
            </w:r>
          </w:p>
        </w:tc>
        <w:tc>
          <w:tcPr>
            <w:tcW w:type="dxa" w:w="2492"/>
          </w:tcPr>
          <w:p>
            <w:pPr>
              <w:pStyle w:val="null3"/>
            </w:pPr>
            <w:r>
              <w:rPr>
                <w:rFonts w:ascii="仿宋_GB2312" w:hAnsi="仿宋_GB2312" w:cs="仿宋_GB2312" w:eastAsia="仿宋_GB2312"/>
              </w:rPr>
              <w:t>根据工作制度、目标综合对比赋分； ①方案科学合理，先进，可操作性强，针对性强，完全满足本项目需求的得[6-10]分； ②方案较明确，有较好的可操作性，基本满足本项目需求的得[3-6)分； ③方案可操作性较差，内容存在严重漏洞（指不适用项目实际情况、存在凭空编造、不太可能实现的夸大情形），得[0-3)分；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监理质量、进度</w:t>
            </w:r>
          </w:p>
        </w:tc>
        <w:tc>
          <w:tcPr>
            <w:tcW w:type="dxa" w:w="2492"/>
          </w:tcPr>
          <w:p>
            <w:pPr>
              <w:pStyle w:val="null3"/>
            </w:pPr>
            <w:r>
              <w:rPr>
                <w:rFonts w:ascii="仿宋_GB2312" w:hAnsi="仿宋_GB2312" w:cs="仿宋_GB2312" w:eastAsia="仿宋_GB2312"/>
              </w:rPr>
              <w:t>根据控制方法及措施合理性、先进可行程度综合对比赋分（0-10分） ①方案科学合理，先进，可操作性强，针对性强，完全满足本项目需求的得[6-10]分； ②方案较明确，有较好的可操作性，基本满足本项目需求的得[3-6)分； ③方案可操作性较差，内容存在严重漏洞（指不适用项目实际情况、存在凭空编造、不太可能实现的夸大情形），得[0-3)分；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安全生产管理职责及造价控制的方法及措施</w:t>
            </w:r>
          </w:p>
        </w:tc>
        <w:tc>
          <w:tcPr>
            <w:tcW w:type="dxa" w:w="2492"/>
          </w:tcPr>
          <w:p>
            <w:pPr>
              <w:pStyle w:val="null3"/>
            </w:pPr>
            <w:r>
              <w:rPr>
                <w:rFonts w:ascii="仿宋_GB2312" w:hAnsi="仿宋_GB2312" w:cs="仿宋_GB2312" w:eastAsia="仿宋_GB2312"/>
              </w:rPr>
              <w:t>根据控制方法及措施合理性、先进可行程度综合对比赋分。 ①方案科学合理，先进，可操作性强，针对性强，完全满足本项目需求的得[6-10]分； ②方案较明确，有较好的可操作性，基本满足本项目需求的得[3-6)分； ③方案可操作性较差，内容存在严重漏洞（指不适用项目实际情况、存在凭空编造、不太可能实现的夸大情形），得[0-3)分；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合同及信息管理、组织协调</w:t>
            </w:r>
          </w:p>
        </w:tc>
        <w:tc>
          <w:tcPr>
            <w:tcW w:type="dxa" w:w="2492"/>
          </w:tcPr>
          <w:p>
            <w:pPr>
              <w:pStyle w:val="null3"/>
            </w:pPr>
            <w:r>
              <w:rPr>
                <w:rFonts w:ascii="仿宋_GB2312" w:hAnsi="仿宋_GB2312" w:cs="仿宋_GB2312" w:eastAsia="仿宋_GB2312"/>
              </w:rPr>
              <w:t>根据响应内容综合对比赋分 ①方案科学合理，先进，可操作性强，针对性强，完全满足本项目需求的得[6-10]分； ②方案较明确，有较好的可操作性，基本满足本项目需求的得[3-6)分； ③方案可操作性较差，内容存在严重漏洞（指不适用项目实际情况、存在凭空编造、不太可能实现的夸大情形），得[0-3)分；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vMerge/>
          </w:tcPr>
          <w:p/>
        </w:tc>
        <w:tc>
          <w:tcPr>
            <w:tcW w:type="dxa" w:w="1661"/>
          </w:tcPr>
          <w:p>
            <w:pPr>
              <w:pStyle w:val="null3"/>
            </w:pPr>
            <w:r>
              <w:rPr>
                <w:rFonts w:ascii="仿宋_GB2312" w:hAnsi="仿宋_GB2312" w:cs="仿宋_GB2312" w:eastAsia="仿宋_GB2312"/>
              </w:rPr>
              <w:t>保修阶段的服务管理措施及合理化建议</w:t>
            </w:r>
          </w:p>
        </w:tc>
        <w:tc>
          <w:tcPr>
            <w:tcW w:type="dxa" w:w="2492"/>
          </w:tcPr>
          <w:p>
            <w:pPr>
              <w:pStyle w:val="null3"/>
            </w:pPr>
            <w:r>
              <w:rPr>
                <w:rFonts w:ascii="仿宋_GB2312" w:hAnsi="仿宋_GB2312" w:cs="仿宋_GB2312" w:eastAsia="仿宋_GB2312"/>
              </w:rPr>
              <w:t>根据措施及建议的合理性、可行程度综合对比赋分 ①方案科学合理，先进，可操作性强，针对性强，完全满足本项目需求的得[6-10]分； ②方案较明确，有较好的可操作性，基本满足本项目需求的得[3-6)分； ③方案可操作性较差，内容存在严重漏洞（指不适用项目实际情况、存在凭空编造、不太可能实现的夸大情形），得[0-3)分；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监理大纲.docx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采用低价优先法计算，即通过资格审查和符合性审查且最后报价最低的供应商的价格为磋商基准价，其价格分为满分。磋商报价得分＝（磋商基准价/最后磋商报价）×15 备注：当磋商小组认为某个供应商的报价明显低于其他通过符合性审查供应商的报价，有可能影响工程质量和不能诚信履约的，应要求该供应商在评审现场合理的时间内提供书面说明，必要时提交相关证明材料；供应商不能证明其报价合理的，磋商小组将其作为无效文件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详见附件：监理大纲.docx</w:t>
      </w:r>
    </w:p>
    <w:p>
      <w:pPr>
        <w:pStyle w:val="null3"/>
        <w:ind w:firstLine="960"/>
      </w:pPr>
      <w:r>
        <w:rPr>
          <w:rFonts w:ascii="仿宋_GB2312" w:hAnsi="仿宋_GB2312" w:cs="仿宋_GB2312" w:eastAsia="仿宋_GB2312"/>
        </w:rPr>
        <w:t>详见附件：监理检测设备一览表.docx</w:t>
      </w:r>
    </w:p>
    <w:p>
      <w:pPr>
        <w:pStyle w:val="null3"/>
        <w:ind w:firstLine="960"/>
      </w:pPr>
      <w:r>
        <w:rPr>
          <w:rFonts w:ascii="仿宋_GB2312" w:hAnsi="仿宋_GB2312" w:cs="仿宋_GB2312" w:eastAsia="仿宋_GB2312"/>
        </w:rPr>
        <w:t>详见附件：监理业绩一览表.docx</w:t>
      </w:r>
    </w:p>
    <w:p>
      <w:pPr>
        <w:pStyle w:val="null3"/>
        <w:ind w:firstLine="960"/>
      </w:pPr>
      <w:r>
        <w:rPr>
          <w:rFonts w:ascii="仿宋_GB2312" w:hAnsi="仿宋_GB2312" w:cs="仿宋_GB2312" w:eastAsia="仿宋_GB2312"/>
        </w:rPr>
        <w:t>详见附件：拟投入人员.docx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详见附件：监理合同.docx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