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版本号：E-254032XA008-0920250814001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学生公寓消防连廊及烟感报警改造项目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E-254032XA008-09</w:t>
      </w:r>
      <w:r>
        <w:br/>
      </w:r>
      <w:r>
        <w:br/>
      </w:r>
      <w:r>
        <w:br/>
      </w:r>
    </w:p>
    <w:p>
      <w:pPr>
        <w:pStyle w:val="null3"/>
        <w:jc w:val="center"/>
        <w:outlineLvl w:val="2"/>
      </w:pPr>
      <w:r>
        <w:rPr>
          <w:rFonts w:ascii="仿宋_GB2312" w:hAnsi="仿宋_GB2312" w:cs="仿宋_GB2312" w:eastAsia="仿宋_GB2312"/>
          <w:sz w:val="28"/>
          <w:b/>
        </w:rPr>
        <w:t>西安旅游职业中等专业学校</w:t>
      </w:r>
    </w:p>
    <w:p>
      <w:pPr>
        <w:pStyle w:val="null3"/>
        <w:jc w:val="center"/>
        <w:outlineLvl w:val="2"/>
      </w:pPr>
      <w:r>
        <w:rPr>
          <w:rFonts w:ascii="仿宋_GB2312" w:hAnsi="仿宋_GB2312" w:cs="仿宋_GB2312" w:eastAsia="仿宋_GB2312"/>
          <w:sz w:val="28"/>
          <w:b/>
        </w:rPr>
        <w:t>中航技（北京）工程管理有限公司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中航技（北京）工程管理有限公司</w:t>
      </w:r>
      <w:r>
        <w:rPr>
          <w:rFonts w:ascii="仿宋_GB2312" w:hAnsi="仿宋_GB2312" w:cs="仿宋_GB2312" w:eastAsia="仿宋_GB2312"/>
        </w:rPr>
        <w:t>（以下简称“代理机构”）受</w:t>
      </w:r>
      <w:r>
        <w:rPr>
          <w:rFonts w:ascii="仿宋_GB2312" w:hAnsi="仿宋_GB2312" w:cs="仿宋_GB2312" w:eastAsia="仿宋_GB2312"/>
        </w:rPr>
        <w:t>西安旅游职业中等专业学校</w:t>
      </w:r>
      <w:r>
        <w:rPr>
          <w:rFonts w:ascii="仿宋_GB2312" w:hAnsi="仿宋_GB2312" w:cs="仿宋_GB2312" w:eastAsia="仿宋_GB2312"/>
        </w:rPr>
        <w:t>委托，拟对</w:t>
      </w:r>
      <w:r>
        <w:rPr>
          <w:rFonts w:ascii="仿宋_GB2312" w:hAnsi="仿宋_GB2312" w:cs="仿宋_GB2312" w:eastAsia="仿宋_GB2312"/>
        </w:rPr>
        <w:t>学生公寓消防连廊及烟感报警改造项目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E-254032XA008-09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学生公寓消防连廊及烟感报警改造项目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学生公寓消防连廊及烟感报警改造项目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采购包1（学生公寓消防连廊及烟感报警改造项目）：属于专门面向中小企业采购。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1、供应商资质要求：供应商需具备建筑工程施工总承包二级及以上资质及有效的安全生产许可证。</w:t>
      </w:r>
    </w:p>
    <w:p>
      <w:pPr>
        <w:pStyle w:val="null3"/>
      </w:pPr>
      <w:r>
        <w:rPr>
          <w:rFonts w:ascii="仿宋_GB2312" w:hAnsi="仿宋_GB2312" w:cs="仿宋_GB2312" w:eastAsia="仿宋_GB2312"/>
        </w:rPr>
        <w:t>2、项目经理资质：具备建筑工程专业注册建造师二级及以上，并具备建设主管部门颁发的安全生产考核合格证（建安B证），且未担任其他在建工程项目的项目经理。</w:t>
      </w:r>
    </w:p>
    <w:p>
      <w:pPr>
        <w:pStyle w:val="null3"/>
      </w:pPr>
      <w:r>
        <w:rPr>
          <w:rFonts w:ascii="仿宋_GB2312" w:hAnsi="仿宋_GB2312" w:cs="仿宋_GB2312" w:eastAsia="仿宋_GB2312"/>
        </w:rPr>
        <w:t>3、 投标授权代表：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西安旅游职业中等专业学校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西安市长安区韦曲街道办事处西四府村甲字3号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029-85990844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中航技（北京）工程管理有限公司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赵伟、杨晶莹、李静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029-89187077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 家发展改革委员会办公厅颁发的《关于招标代理服务收费有关问题的通 知》 （发改办价格[2003] 857号）的有关 规定标准下浮10%向采购代理机构一次付清代理服务费。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西安旅游职业中等专业学校</w:t>
      </w:r>
      <w:r>
        <w:rPr>
          <w:rFonts w:ascii="仿宋_GB2312" w:hAnsi="仿宋_GB2312" w:cs="仿宋_GB2312" w:eastAsia="仿宋_GB2312"/>
        </w:rPr>
        <w:t>和</w:t>
      </w:r>
      <w:r>
        <w:rPr>
          <w:rFonts w:ascii="仿宋_GB2312" w:hAnsi="仿宋_GB2312" w:cs="仿宋_GB2312" w:eastAsia="仿宋_GB2312"/>
        </w:rPr>
        <w:t>中航技（北京）工程管理有限公司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西安旅游职业中等专业学校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中航技（北京）工程管理有限公司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西安旅游职业中等专业学校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联系人：赵伟</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2,560,000.00</w:t>
      </w:r>
    </w:p>
    <w:p>
      <w:pPr>
        <w:pStyle w:val="null3"/>
      </w:pPr>
      <w:r>
        <w:rPr>
          <w:rFonts w:ascii="仿宋_GB2312" w:hAnsi="仿宋_GB2312" w:cs="仿宋_GB2312" w:eastAsia="仿宋_GB2312"/>
        </w:rPr>
        <w:t>采购包最高限价（元）: 2,559,435.67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本校男生宿舍楼长28米、宽21米、共5层，高19.5米；女生宿舍楼长32米、宽21米、共6层，高21米。男、女生宿舍楼共6163㎡，可容纳1432名学生居住，目前处于饱和状态，属于人员密集区域，新增室内消防火灾报警系统及女生宿舍楼疏散楼梯。</w:t>
            </w:r>
            <w:r>
              <w:br/>
            </w:r>
            <w:r>
              <w:rPr>
                <w:rFonts w:ascii="仿宋_GB2312" w:hAnsi="仿宋_GB2312" w:cs="仿宋_GB2312" w:eastAsia="仿宋_GB2312"/>
              </w:rPr>
              <w:t xml:space="preserve"> 招生办公室建筑主体为拆除原有建筑，新建钢结构框架+砌体填充墙结构，总建筑面积149.12㎡，层数2层。主体结构完工后需完成后进行消防。</w:t>
            </w:r>
          </w:p>
          <w:p>
            <w:pPr>
              <w:pStyle w:val="null3"/>
            </w:pPr>
            <w:r>
              <w:rPr>
                <w:rFonts w:ascii="仿宋_GB2312" w:hAnsi="仿宋_GB2312" w:cs="仿宋_GB2312" w:eastAsia="仿宋_GB2312"/>
              </w:rPr>
              <w:t>二、具体内容以工程量清单及图纸为准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1、工期：60天；2、质保期：两年； 3、二次报价为最终报价，在满足磋商文件所有实质性要求前提下，提交最 终报价。本工程项目采用固定综合单价据实结算方式。除国家规定不可调整外（不可竞争的规费、 税金、安全文明施工费等费用）及采购人要求不得调整外（预留金、暂估价），工程其余内容（综 合单价及相关费用）参考降价比例（最终报价/首次报价）同比例进行调整。调整后价格在合同 执行过程中是固定不变的（本合同另有约定的执行该约定条款），不得以任何理由予以变更。以 可变动价格提交的报价将被认为是非实质响应而被拒绝。成交供应商不得擅自改变工程范围内容、 质量标准和工期。如采购需求没有实质性变化，各供应商的二次报价不得超过一次报价，否则， 按无效文件处理。 4、本项目质保金缴纳方式按照合同约定的方式缴纳。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1）法人或者其他组织出具合法有效的营业执照或事业单位法人证书等国家规定的相关证明； 2）投标人应当提供 2024 年度经审计的财务报告复印件；或投标文件递交截止时间前6 个月内任意时间由银行出具的资信证明；或提供具有良好商业信誉和健全的财务会计制度的承诺函。（以上三种形式的资料提供任何一种即可） 3）投标文件递交截止时间前 6个月内至少一个月的纳税证明或完税证明（除个人所得税外的其他任意税种）；或提供具有依法纳税良好记录的承诺函。以上两种形式的资料提供任何一种即可，依法免税的投标人应提供相关证明材料。 4）投标截止时间前 6 个月内至少一个月的社会保障资金缴存单据或社保机构开具的社会保险参保缴费情况证明；或提供具有依法缴纳社会保障资金良好记录的承诺函。以上两种形式的资料提供任何一种即可，依法不需要缴纳社会保障资金的投标人应提供相关证明材料； 5）提供“具备履行合同所必需的设备和专业技术能力的承诺函”； 6）提供“参加政府采购活动前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投标人应当提供 2024 年度经审计的财务报告复印件；或投标文件递交截止时间前 6 个月内任意时间由银行出具的资信证明；或提供具有良好商业信誉和健全的财务会计制度的承诺函；</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供应商需具备建筑工程施工总承包二级及以上资质及有效的安全生产许可证。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具备建筑工程专业注册建造师二级及以上，并具备建设主管部门颁发的安全生产考核合格证（建安B证），且未担任其他在建工程项目的项目经理。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投标授权代表</w:t>
            </w:r>
          </w:p>
        </w:tc>
        <w:tc>
          <w:tcPr>
            <w:tcW w:type="dxa" w:w="3322"/>
          </w:tcPr>
          <w:p>
            <w:pPr>
              <w:pStyle w:val="null3"/>
            </w:pPr>
            <w:r>
              <w:rPr>
                <w:rFonts w:ascii="仿宋_GB2312" w:hAnsi="仿宋_GB2312" w:cs="仿宋_GB2312" w:eastAsia="仿宋_GB2312"/>
              </w:rPr>
              <w:t>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响应报价唯一，未超出磋商文件规定的采购预算（最高限价）</w:t>
            </w:r>
          </w:p>
        </w:tc>
        <w:tc>
          <w:tcPr>
            <w:tcW w:type="dxa" w:w="1661"/>
          </w:tcPr>
          <w:p>
            <w:pPr>
              <w:pStyle w:val="null3"/>
            </w:pPr>
            <w:r>
              <w:rPr>
                <w:rFonts w:ascii="仿宋_GB2312" w:hAnsi="仿宋_GB2312" w:cs="仿宋_GB2312" w:eastAsia="仿宋_GB2312"/>
              </w:rPr>
              <w:t>磋商一览表.docx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响应文件的签署、加盖印章是否合格、有效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响应函 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磋商响应中没有出现磋商文件规定</w:t>
            </w:r>
          </w:p>
        </w:tc>
        <w:tc>
          <w:tcPr>
            <w:tcW w:type="dxa" w:w="1661"/>
          </w:tcPr>
          <w:p>
            <w:pPr>
              <w:pStyle w:val="null3"/>
            </w:pPr>
            <w:r>
              <w:rPr>
                <w:rFonts w:ascii="仿宋_GB2312" w:hAnsi="仿宋_GB2312" w:cs="仿宋_GB2312" w:eastAsia="仿宋_GB2312"/>
              </w:rPr>
              <w:t>已标价工程量清单 供应商认为需提交的其他资料.docx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方案科学合理，先进，可操作性强，针对性强，完全满足本项目需求的得[6-10]分；方案较明确，有较好的可操作性，能满足本项目需求的得[3-6)分；方案可操作性较差，能基本满足本项目需求的得[0-3)分；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方案科学合理，先进，可操作性强，针对性强，完全满足本项目需求的得[4-7]分；方案较明确，有较好的可操作性，能满足本项目需求的得[2-4)分；方案可操作性较差，能基本满足本项目需求的得[0-2)分；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方案科学合理，先进，可操作性强，针对性强，完全满足本项目需求的得[4-7]分；方案较明确，有较好的可操作性，能满足本项目需求的得[2-4)分；方案可操作性较差，能基本满足本项目需求的得[0-2)分；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方案科学合理，先进，可操作性强，针对性强，完全满足本项目需求的得[4-7]分；方案较明确，有较好的可操作性，能满足本项目需求的得[2-4)分；方案可操作性较差，能基本满足本项目需求的得[0-2)分；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方案科学合理，先进，可操作性强，针对性强，完全满足本项目需求的得[4-7]分；方案较明确，有较好的可操作性，能满足本项目需求的得[2-4)分；方案可操作性较差，能基本满足本项目需求的得[0-2)分；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劳动力计划安排措施</w:t>
            </w:r>
          </w:p>
        </w:tc>
        <w:tc>
          <w:tcPr>
            <w:tcW w:type="dxa" w:w="2492"/>
          </w:tcPr>
          <w:p>
            <w:pPr>
              <w:pStyle w:val="null3"/>
            </w:pPr>
            <w:r>
              <w:rPr>
                <w:rFonts w:ascii="仿宋_GB2312" w:hAnsi="仿宋_GB2312" w:cs="仿宋_GB2312" w:eastAsia="仿宋_GB2312"/>
              </w:rPr>
              <w:t>劳动力计划配备合理，人数及工种完全满足本项目需求的得[4-7]分；劳动力计划较为完善得[1-4)分；人数及工种欠缺，不能满足本项目需求得[0-1)分；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拟派项目经理部组成人员至少包括技术负责人、安全员、施工员、质量员、材料员，每少一个扣2分，扣完为止； 评审依据：需提供以上人员的岗位证或注册证复印件加盖公章。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完全满足本项目需要得[3-5]分， 基本满足得[0-3)分；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拟派项目经理具备本科级以上学历得5分，专科得3分，专科以下学历不得分。 需提供学历证或毕业证、学信网证明资料。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提供2022年1月至今（以合同签订日期为准）具有类似项目业绩，每提供1个符合要求的业绩得2.5分，本项最高为5分。 评审依据：提供合同或中标通知书或中标公示复印件加盖公章。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采用低价优先法计算，即通过资格审查和符合性审查且最后报价最低的供应商的价格为磋商基准价，其价格分为满分。磋商报价得分＝（磋商基准价/最后磋商报价）×30 备注：当磋商小组认为某个供应商的报价明显低于其他通过符合性审查供应商的报价，有可能影响工程质量和不能诚信履约的，应要求该供应商在评审现场合理的时间内提供书面说明，必要时提交相关证明材料；供应商不能证明其报价合理的，磋商小组将其作为无效文件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详见附件：供应商认为需提交的其他资料.docx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详见附件：施工合同（固定单价）.docx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