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167453">
      <w:pPr>
        <w:pStyle w:val="5"/>
        <w:jc w:val="center"/>
        <w:outlineLvl w:val="1"/>
        <w:rPr>
          <w:highlight w:val="none"/>
        </w:rPr>
      </w:pPr>
      <w:bookmarkStart w:id="0" w:name="_GoBack"/>
      <w:r>
        <w:rPr>
          <w:rFonts w:ascii="仿宋_GB2312" w:hAnsi="仿宋_GB2312" w:eastAsia="仿宋_GB2312" w:cs="仿宋_GB2312"/>
          <w:b/>
          <w:sz w:val="36"/>
          <w:highlight w:val="none"/>
        </w:rPr>
        <w:t>拟签订合同文本</w:t>
      </w:r>
    </w:p>
    <w:p w14:paraId="29FD8B3A">
      <w:pPr>
        <w:ind w:firstLine="2120" w:firstLineChars="400"/>
        <w:rPr>
          <w:rFonts w:hint="eastAsia" w:ascii="仿宋" w:hAnsi="仿宋" w:eastAsia="仿宋" w:cs="仿宋"/>
          <w:b/>
          <w:spacing w:val="4"/>
          <w:sz w:val="52"/>
          <w:szCs w:val="48"/>
          <w:highlight w:val="none"/>
        </w:rPr>
      </w:pPr>
      <w:r>
        <w:rPr>
          <w:rFonts w:hint="eastAsia" w:ascii="仿宋" w:hAnsi="仿宋" w:eastAsia="仿宋" w:cs="仿宋"/>
          <w:b/>
          <w:spacing w:val="4"/>
          <w:sz w:val="52"/>
          <w:szCs w:val="48"/>
          <w:highlight w:val="none"/>
        </w:rPr>
        <w:t>西安市中心医院货物类</w:t>
      </w:r>
    </w:p>
    <w:p w14:paraId="1304F2AF">
      <w:pPr>
        <w:ind w:firstLine="3233" w:firstLineChars="350"/>
        <w:rPr>
          <w:rFonts w:hint="eastAsia" w:ascii="仿宋" w:hAnsi="仿宋" w:eastAsia="仿宋" w:cs="仿宋"/>
          <w:b/>
          <w:spacing w:val="-20"/>
          <w:sz w:val="96"/>
          <w:szCs w:val="58"/>
          <w:highlight w:val="none"/>
        </w:rPr>
      </w:pPr>
    </w:p>
    <w:p w14:paraId="3E79FA6C">
      <w:pPr>
        <w:jc w:val="center"/>
        <w:rPr>
          <w:rFonts w:hint="eastAsia" w:ascii="仿宋" w:hAnsi="仿宋" w:eastAsia="仿宋" w:cs="仿宋"/>
          <w:sz w:val="28"/>
          <w:szCs w:val="30"/>
          <w:highlight w:val="none"/>
        </w:rPr>
      </w:pPr>
      <w:r>
        <w:rPr>
          <w:rFonts w:hint="eastAsia" w:ascii="仿宋" w:hAnsi="仿宋" w:eastAsia="仿宋" w:cs="仿宋"/>
          <w:b/>
          <w:sz w:val="72"/>
          <w:szCs w:val="72"/>
          <w:highlight w:val="none"/>
        </w:rPr>
        <w:t xml:space="preserve"> 合 同</w:t>
      </w:r>
    </w:p>
    <w:p w14:paraId="71DDFAA8">
      <w:pPr>
        <w:ind w:firstLine="3080" w:firstLineChars="1100"/>
        <w:rPr>
          <w:rFonts w:hint="eastAsia" w:ascii="仿宋" w:hAnsi="仿宋" w:eastAsia="仿宋" w:cs="仿宋"/>
          <w:sz w:val="28"/>
          <w:szCs w:val="30"/>
          <w:highlight w:val="none"/>
        </w:rPr>
      </w:pPr>
    </w:p>
    <w:p w14:paraId="5A38AB8E">
      <w:pPr>
        <w:ind w:firstLine="3080" w:firstLineChars="1100"/>
        <w:rPr>
          <w:rFonts w:hint="eastAsia" w:ascii="仿宋" w:hAnsi="仿宋" w:eastAsia="仿宋" w:cs="仿宋"/>
          <w:sz w:val="28"/>
          <w:szCs w:val="30"/>
          <w:highlight w:val="none"/>
        </w:rPr>
      </w:pPr>
    </w:p>
    <w:p w14:paraId="30537121">
      <w:pPr>
        <w:ind w:firstLine="3080" w:firstLineChars="1100"/>
        <w:rPr>
          <w:rFonts w:hint="eastAsia" w:ascii="仿宋" w:hAnsi="仿宋" w:eastAsia="仿宋" w:cs="仿宋"/>
          <w:sz w:val="28"/>
          <w:szCs w:val="30"/>
          <w:highlight w:val="none"/>
          <w:u w:val="single"/>
        </w:rPr>
      </w:pPr>
      <w:r>
        <w:rPr>
          <w:rFonts w:hint="eastAsia" w:ascii="仿宋" w:hAnsi="仿宋" w:eastAsia="仿宋" w:cs="仿宋"/>
          <w:sz w:val="28"/>
          <w:szCs w:val="30"/>
          <w:highlight w:val="none"/>
        </w:rPr>
        <w:t>项目名称：</w:t>
      </w:r>
      <w:r>
        <w:rPr>
          <w:rFonts w:hint="eastAsia" w:ascii="仿宋" w:hAnsi="仿宋" w:eastAsia="仿宋" w:cs="仿宋"/>
          <w:sz w:val="28"/>
          <w:szCs w:val="30"/>
          <w:highlight w:val="none"/>
          <w:u w:val="single"/>
        </w:rPr>
        <w:t xml:space="preserve">            </w:t>
      </w:r>
    </w:p>
    <w:p w14:paraId="4ABB0975">
      <w:pPr>
        <w:ind w:firstLine="3080" w:firstLineChars="1100"/>
        <w:rPr>
          <w:rFonts w:hint="eastAsia" w:ascii="仿宋" w:hAnsi="仿宋" w:eastAsia="仿宋" w:cs="仿宋"/>
          <w:sz w:val="28"/>
          <w:szCs w:val="30"/>
          <w:highlight w:val="none"/>
        </w:rPr>
      </w:pPr>
      <w:r>
        <w:rPr>
          <w:rFonts w:hint="eastAsia" w:ascii="仿宋" w:hAnsi="仿宋" w:eastAsia="仿宋" w:cs="仿宋"/>
          <w:sz w:val="28"/>
          <w:szCs w:val="30"/>
          <w:highlight w:val="none"/>
        </w:rPr>
        <w:t>项目编号：</w:t>
      </w:r>
      <w:r>
        <w:rPr>
          <w:rFonts w:hint="eastAsia" w:ascii="仿宋" w:hAnsi="仿宋" w:eastAsia="仿宋" w:cs="仿宋"/>
          <w:sz w:val="28"/>
          <w:szCs w:val="30"/>
          <w:highlight w:val="none"/>
          <w:u w:val="single"/>
        </w:rPr>
        <w:t xml:space="preserve">            </w:t>
      </w:r>
    </w:p>
    <w:p w14:paraId="132F95B5">
      <w:pPr>
        <w:jc w:val="both"/>
        <w:rPr>
          <w:rFonts w:hint="eastAsia" w:ascii="仿宋" w:hAnsi="仿宋" w:eastAsia="仿宋" w:cs="仿宋"/>
          <w:sz w:val="28"/>
          <w:szCs w:val="30"/>
          <w:highlight w:val="none"/>
        </w:rPr>
      </w:pPr>
    </w:p>
    <w:p w14:paraId="18EC9606">
      <w:pPr>
        <w:jc w:val="center"/>
        <w:rPr>
          <w:rFonts w:hint="eastAsia" w:ascii="仿宋" w:hAnsi="仿宋" w:eastAsia="仿宋" w:cs="仿宋"/>
          <w:sz w:val="28"/>
          <w:szCs w:val="30"/>
          <w:highlight w:val="none"/>
        </w:rPr>
      </w:pPr>
    </w:p>
    <w:p w14:paraId="49F6278F">
      <w:pPr>
        <w:jc w:val="center"/>
        <w:rPr>
          <w:rFonts w:hint="eastAsia" w:ascii="仿宋" w:hAnsi="仿宋" w:eastAsia="仿宋" w:cs="仿宋"/>
          <w:sz w:val="28"/>
          <w:szCs w:val="30"/>
          <w:highlight w:val="none"/>
        </w:rPr>
      </w:pPr>
    </w:p>
    <w:p w14:paraId="39F71BA0">
      <w:pPr>
        <w:ind w:firstLine="3000" w:firstLineChars="10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甲  方：西安市中心医院</w:t>
      </w:r>
    </w:p>
    <w:p w14:paraId="5D5F38CE">
      <w:pPr>
        <w:tabs>
          <w:tab w:val="left" w:pos="480"/>
        </w:tabs>
        <w:ind w:firstLine="3000" w:firstLineChars="1000"/>
        <w:jc w:val="left"/>
        <w:rPr>
          <w:rFonts w:hint="eastAsia" w:ascii="仿宋" w:hAnsi="仿宋" w:eastAsia="仿宋" w:cs="仿宋"/>
          <w:sz w:val="30"/>
          <w:szCs w:val="30"/>
          <w:highlight w:val="none"/>
        </w:rPr>
      </w:pPr>
      <w:r>
        <w:rPr>
          <w:rFonts w:hint="eastAsia" w:ascii="仿宋" w:hAnsi="仿宋" w:eastAsia="仿宋" w:cs="仿宋"/>
          <w:sz w:val="30"/>
          <w:szCs w:val="30"/>
          <w:highlight w:val="none"/>
        </w:rPr>
        <w:t>乙  方：</w:t>
      </w:r>
    </w:p>
    <w:p w14:paraId="52331CC8">
      <w:pPr>
        <w:jc w:val="left"/>
        <w:rPr>
          <w:rFonts w:hint="eastAsia" w:ascii="仿宋" w:hAnsi="仿宋" w:eastAsia="仿宋" w:cs="仿宋"/>
          <w:sz w:val="30"/>
          <w:szCs w:val="30"/>
          <w:highlight w:val="none"/>
        </w:rPr>
      </w:pPr>
    </w:p>
    <w:p w14:paraId="0E85A8C8">
      <w:pPr>
        <w:rPr>
          <w:rFonts w:hint="eastAsia" w:ascii="仿宋" w:hAnsi="仿宋" w:eastAsia="仿宋" w:cs="仿宋"/>
          <w:sz w:val="28"/>
          <w:szCs w:val="30"/>
          <w:highlight w:val="none"/>
        </w:rPr>
      </w:pPr>
      <w:r>
        <w:rPr>
          <w:rFonts w:hint="eastAsia" w:ascii="仿宋" w:hAnsi="仿宋" w:eastAsia="仿宋" w:cs="仿宋"/>
          <w:sz w:val="32"/>
          <w:szCs w:val="32"/>
          <w:highlight w:val="none"/>
        </w:rPr>
        <w:t xml:space="preserve">        </w:t>
      </w:r>
    </w:p>
    <w:p w14:paraId="094B7E29">
      <w:pPr>
        <w:ind w:firstLine="3520" w:firstLineChars="1100"/>
        <w:rPr>
          <w:rFonts w:hint="eastAsia" w:ascii="仿宋" w:hAnsi="仿宋" w:eastAsia="仿宋" w:cs="仿宋"/>
          <w:sz w:val="32"/>
          <w:szCs w:val="32"/>
          <w:highlight w:val="none"/>
        </w:rPr>
      </w:pPr>
      <w:r>
        <w:rPr>
          <w:rFonts w:hint="eastAsia" w:ascii="仿宋" w:hAnsi="仿宋" w:eastAsia="仿宋" w:cs="仿宋"/>
          <w:sz w:val="32"/>
          <w:szCs w:val="32"/>
          <w:highlight w:val="none"/>
        </w:rPr>
        <w:t>二O二    年  月</w:t>
      </w:r>
    </w:p>
    <w:p w14:paraId="12DAAE08">
      <w:pPr>
        <w:ind w:firstLine="640" w:firstLineChars="200"/>
        <w:rPr>
          <w:rFonts w:hint="eastAsia" w:ascii="仿宋" w:hAnsi="仿宋" w:eastAsia="仿宋" w:cs="仿宋"/>
          <w:sz w:val="32"/>
          <w:szCs w:val="32"/>
          <w:highlight w:val="none"/>
        </w:rPr>
      </w:pPr>
    </w:p>
    <w:p w14:paraId="7CBDC5CF">
      <w:pPr>
        <w:rPr>
          <w:rFonts w:hint="eastAsia" w:ascii="仿宋" w:hAnsi="仿宋" w:eastAsia="仿宋" w:cs="仿宋"/>
          <w:sz w:val="22"/>
          <w:szCs w:val="22"/>
          <w:highlight w:val="none"/>
        </w:rPr>
      </w:pPr>
    </w:p>
    <w:p w14:paraId="215C7D7B">
      <w:pPr>
        <w:rPr>
          <w:rFonts w:hint="eastAsia" w:ascii="仿宋" w:hAnsi="仿宋" w:eastAsia="仿宋" w:cs="仿宋"/>
          <w:sz w:val="22"/>
          <w:szCs w:val="22"/>
          <w:highlight w:val="none"/>
        </w:rPr>
      </w:pPr>
    </w:p>
    <w:p w14:paraId="4F0B0A6D">
      <w:pPr>
        <w:pStyle w:val="2"/>
        <w:rPr>
          <w:rFonts w:hint="eastAsia"/>
          <w:highlight w:val="none"/>
        </w:rPr>
      </w:pPr>
    </w:p>
    <w:p w14:paraId="2F5FC2DF">
      <w:pPr>
        <w:rPr>
          <w:rFonts w:hint="eastAsia"/>
          <w:highlight w:val="none"/>
        </w:rPr>
      </w:pPr>
    </w:p>
    <w:p w14:paraId="6AF4BEA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甲方：西安市中心医院 </w:t>
      </w:r>
    </w:p>
    <w:p w14:paraId="640FCE5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乙方：XXXXXXXXXXXXXX</w:t>
      </w:r>
    </w:p>
    <w:p w14:paraId="14A04C0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甲方就甲方所需货物，按照政府采购程序组织</w:t>
      </w:r>
      <w:r>
        <w:rPr>
          <w:rFonts w:hint="eastAsia" w:ascii="仿宋" w:hAnsi="仿宋" w:eastAsia="仿宋" w:cs="仿宋"/>
          <w:sz w:val="24"/>
          <w:szCs w:val="24"/>
          <w:highlight w:val="none"/>
          <w:u w:val="single"/>
          <w:lang w:val="en-US" w:eastAsia="zh-CN"/>
        </w:rPr>
        <w:t>公开招标</w:t>
      </w:r>
      <w:r>
        <w:rPr>
          <w:rFonts w:hint="eastAsia" w:ascii="仿宋" w:hAnsi="仿宋" w:eastAsia="仿宋" w:cs="仿宋"/>
          <w:sz w:val="24"/>
          <w:szCs w:val="24"/>
          <w:highlight w:val="none"/>
        </w:rPr>
        <w:t>，确定乙方为成交供应商。依据《中华人民共和国政府采购法》、《中华人民共和国招标投标法》、《中华人民共和民法典》，经甲、乙双方协商、确认，达成如下条款。</w:t>
      </w:r>
    </w:p>
    <w:p w14:paraId="741687B6">
      <w:pPr>
        <w:tabs>
          <w:tab w:val="left" w:pos="480"/>
        </w:tabs>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一、合同标的物内容及数量</w:t>
      </w:r>
    </w:p>
    <w:tbl>
      <w:tblPr>
        <w:tblStyle w:val="3"/>
        <w:tblW w:w="9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274"/>
        <w:gridCol w:w="1188"/>
        <w:gridCol w:w="1232"/>
        <w:gridCol w:w="1078"/>
        <w:gridCol w:w="925"/>
        <w:gridCol w:w="1160"/>
        <w:gridCol w:w="1102"/>
        <w:gridCol w:w="961"/>
      </w:tblGrid>
      <w:tr w14:paraId="05E6A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92" w:type="dxa"/>
            <w:noWrap w:val="0"/>
            <w:vAlign w:val="center"/>
          </w:tcPr>
          <w:p w14:paraId="07F8E84E">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1274" w:type="dxa"/>
            <w:noWrap w:val="0"/>
            <w:vAlign w:val="center"/>
          </w:tcPr>
          <w:p w14:paraId="41B2FB5C">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名称</w:t>
            </w:r>
          </w:p>
        </w:tc>
        <w:tc>
          <w:tcPr>
            <w:tcW w:w="1188" w:type="dxa"/>
            <w:noWrap w:val="0"/>
            <w:vAlign w:val="center"/>
          </w:tcPr>
          <w:p w14:paraId="20A2B110">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规格参数</w:t>
            </w:r>
          </w:p>
        </w:tc>
        <w:tc>
          <w:tcPr>
            <w:tcW w:w="1232" w:type="dxa"/>
            <w:noWrap w:val="0"/>
            <w:vAlign w:val="center"/>
          </w:tcPr>
          <w:p w14:paraId="079728C0">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生产</w:t>
            </w:r>
          </w:p>
          <w:p w14:paraId="3557DF2D">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厂家</w:t>
            </w:r>
          </w:p>
        </w:tc>
        <w:tc>
          <w:tcPr>
            <w:tcW w:w="1078" w:type="dxa"/>
            <w:noWrap w:val="0"/>
            <w:vAlign w:val="center"/>
          </w:tcPr>
          <w:p w14:paraId="326CFD16">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计量</w:t>
            </w:r>
          </w:p>
          <w:p w14:paraId="63FE8F0D">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单位</w:t>
            </w:r>
          </w:p>
        </w:tc>
        <w:tc>
          <w:tcPr>
            <w:tcW w:w="925" w:type="dxa"/>
            <w:noWrap w:val="0"/>
            <w:vAlign w:val="center"/>
          </w:tcPr>
          <w:p w14:paraId="77767D15">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160" w:type="dxa"/>
            <w:noWrap w:val="0"/>
            <w:vAlign w:val="center"/>
          </w:tcPr>
          <w:p w14:paraId="4A568035">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单价</w:t>
            </w:r>
          </w:p>
          <w:p w14:paraId="50DCBEBA">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（元）</w:t>
            </w:r>
          </w:p>
        </w:tc>
        <w:tc>
          <w:tcPr>
            <w:tcW w:w="1102" w:type="dxa"/>
            <w:noWrap w:val="0"/>
            <w:vAlign w:val="center"/>
          </w:tcPr>
          <w:p w14:paraId="52C12515">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金额</w:t>
            </w:r>
          </w:p>
          <w:p w14:paraId="1D750448">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（元）</w:t>
            </w:r>
          </w:p>
        </w:tc>
        <w:tc>
          <w:tcPr>
            <w:tcW w:w="961" w:type="dxa"/>
            <w:noWrap w:val="0"/>
            <w:vAlign w:val="center"/>
          </w:tcPr>
          <w:p w14:paraId="1C8090DE">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14:paraId="366BA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92" w:type="dxa"/>
            <w:noWrap w:val="0"/>
            <w:vAlign w:val="center"/>
          </w:tcPr>
          <w:p w14:paraId="48D0E158">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274" w:type="dxa"/>
            <w:noWrap w:val="0"/>
            <w:vAlign w:val="center"/>
          </w:tcPr>
          <w:p w14:paraId="3B3B1975">
            <w:pPr>
              <w:tabs>
                <w:tab w:val="left" w:pos="480"/>
              </w:tabs>
              <w:spacing w:line="360" w:lineRule="auto"/>
              <w:jc w:val="center"/>
              <w:rPr>
                <w:rFonts w:hint="eastAsia" w:ascii="仿宋" w:hAnsi="仿宋" w:eastAsia="仿宋" w:cs="仿宋"/>
                <w:sz w:val="24"/>
                <w:szCs w:val="24"/>
                <w:highlight w:val="none"/>
              </w:rPr>
            </w:pPr>
          </w:p>
        </w:tc>
        <w:tc>
          <w:tcPr>
            <w:tcW w:w="1188" w:type="dxa"/>
            <w:noWrap w:val="0"/>
            <w:vAlign w:val="top"/>
          </w:tcPr>
          <w:p w14:paraId="21AD37CA">
            <w:pPr>
              <w:tabs>
                <w:tab w:val="left" w:pos="480"/>
              </w:tabs>
              <w:spacing w:line="360" w:lineRule="auto"/>
              <w:jc w:val="center"/>
              <w:rPr>
                <w:rFonts w:hint="eastAsia" w:ascii="仿宋" w:hAnsi="仿宋" w:eastAsia="仿宋" w:cs="仿宋"/>
                <w:sz w:val="24"/>
                <w:szCs w:val="24"/>
                <w:highlight w:val="none"/>
              </w:rPr>
            </w:pPr>
          </w:p>
        </w:tc>
        <w:tc>
          <w:tcPr>
            <w:tcW w:w="1232" w:type="dxa"/>
            <w:noWrap w:val="0"/>
            <w:vAlign w:val="top"/>
          </w:tcPr>
          <w:p w14:paraId="5C823139">
            <w:pPr>
              <w:tabs>
                <w:tab w:val="left" w:pos="480"/>
              </w:tabs>
              <w:spacing w:line="360" w:lineRule="auto"/>
              <w:jc w:val="center"/>
              <w:rPr>
                <w:rFonts w:hint="eastAsia" w:ascii="仿宋" w:hAnsi="仿宋" w:eastAsia="仿宋" w:cs="仿宋"/>
                <w:sz w:val="24"/>
                <w:szCs w:val="24"/>
                <w:highlight w:val="none"/>
              </w:rPr>
            </w:pPr>
          </w:p>
        </w:tc>
        <w:tc>
          <w:tcPr>
            <w:tcW w:w="1078" w:type="dxa"/>
            <w:noWrap w:val="0"/>
            <w:vAlign w:val="center"/>
          </w:tcPr>
          <w:p w14:paraId="51201841">
            <w:pPr>
              <w:tabs>
                <w:tab w:val="left" w:pos="480"/>
              </w:tabs>
              <w:spacing w:line="360" w:lineRule="auto"/>
              <w:jc w:val="center"/>
              <w:rPr>
                <w:rFonts w:hint="eastAsia" w:ascii="仿宋" w:hAnsi="仿宋" w:eastAsia="仿宋" w:cs="仿宋"/>
                <w:sz w:val="24"/>
                <w:szCs w:val="24"/>
                <w:highlight w:val="none"/>
              </w:rPr>
            </w:pPr>
          </w:p>
        </w:tc>
        <w:tc>
          <w:tcPr>
            <w:tcW w:w="925" w:type="dxa"/>
            <w:noWrap w:val="0"/>
            <w:vAlign w:val="top"/>
          </w:tcPr>
          <w:p w14:paraId="18E746A8">
            <w:pPr>
              <w:tabs>
                <w:tab w:val="left" w:pos="480"/>
              </w:tabs>
              <w:spacing w:line="360" w:lineRule="auto"/>
              <w:jc w:val="center"/>
              <w:rPr>
                <w:rFonts w:hint="eastAsia" w:ascii="仿宋" w:hAnsi="仿宋" w:eastAsia="仿宋" w:cs="仿宋"/>
                <w:sz w:val="24"/>
                <w:szCs w:val="24"/>
                <w:highlight w:val="none"/>
              </w:rPr>
            </w:pPr>
          </w:p>
        </w:tc>
        <w:tc>
          <w:tcPr>
            <w:tcW w:w="1160" w:type="dxa"/>
            <w:noWrap w:val="0"/>
            <w:vAlign w:val="center"/>
          </w:tcPr>
          <w:p w14:paraId="2134A414">
            <w:pPr>
              <w:tabs>
                <w:tab w:val="left" w:pos="480"/>
              </w:tabs>
              <w:spacing w:line="360" w:lineRule="auto"/>
              <w:jc w:val="center"/>
              <w:rPr>
                <w:rFonts w:hint="eastAsia" w:ascii="仿宋" w:hAnsi="仿宋" w:eastAsia="仿宋" w:cs="仿宋"/>
                <w:sz w:val="24"/>
                <w:szCs w:val="24"/>
                <w:highlight w:val="none"/>
              </w:rPr>
            </w:pPr>
          </w:p>
        </w:tc>
        <w:tc>
          <w:tcPr>
            <w:tcW w:w="1102" w:type="dxa"/>
            <w:noWrap w:val="0"/>
            <w:vAlign w:val="top"/>
          </w:tcPr>
          <w:p w14:paraId="017DFA30">
            <w:pPr>
              <w:tabs>
                <w:tab w:val="left" w:pos="480"/>
              </w:tabs>
              <w:spacing w:line="360" w:lineRule="auto"/>
              <w:jc w:val="center"/>
              <w:rPr>
                <w:rFonts w:hint="eastAsia" w:ascii="仿宋" w:hAnsi="仿宋" w:eastAsia="仿宋" w:cs="仿宋"/>
                <w:sz w:val="24"/>
                <w:szCs w:val="24"/>
                <w:highlight w:val="none"/>
              </w:rPr>
            </w:pPr>
          </w:p>
        </w:tc>
        <w:tc>
          <w:tcPr>
            <w:tcW w:w="961" w:type="dxa"/>
            <w:noWrap w:val="0"/>
            <w:vAlign w:val="top"/>
          </w:tcPr>
          <w:p w14:paraId="39357F27">
            <w:pPr>
              <w:tabs>
                <w:tab w:val="left" w:pos="480"/>
              </w:tabs>
              <w:spacing w:line="360" w:lineRule="auto"/>
              <w:jc w:val="center"/>
              <w:rPr>
                <w:rFonts w:hint="eastAsia" w:ascii="仿宋" w:hAnsi="仿宋" w:eastAsia="仿宋" w:cs="仿宋"/>
                <w:sz w:val="24"/>
                <w:szCs w:val="24"/>
                <w:highlight w:val="none"/>
              </w:rPr>
            </w:pPr>
          </w:p>
        </w:tc>
      </w:tr>
      <w:tr w14:paraId="6D646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92" w:type="dxa"/>
            <w:noWrap w:val="0"/>
            <w:vAlign w:val="center"/>
          </w:tcPr>
          <w:p w14:paraId="12620733">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1274" w:type="dxa"/>
            <w:noWrap w:val="0"/>
            <w:vAlign w:val="center"/>
          </w:tcPr>
          <w:p w14:paraId="1B54D2C3">
            <w:pPr>
              <w:tabs>
                <w:tab w:val="left" w:pos="480"/>
              </w:tabs>
              <w:spacing w:line="360" w:lineRule="auto"/>
              <w:jc w:val="center"/>
              <w:rPr>
                <w:rFonts w:hint="eastAsia" w:ascii="仿宋" w:hAnsi="仿宋" w:eastAsia="仿宋" w:cs="仿宋"/>
                <w:sz w:val="24"/>
                <w:szCs w:val="24"/>
                <w:highlight w:val="none"/>
              </w:rPr>
            </w:pPr>
          </w:p>
        </w:tc>
        <w:tc>
          <w:tcPr>
            <w:tcW w:w="1188" w:type="dxa"/>
            <w:noWrap w:val="0"/>
            <w:vAlign w:val="top"/>
          </w:tcPr>
          <w:p w14:paraId="7F04F611">
            <w:pPr>
              <w:tabs>
                <w:tab w:val="left" w:pos="480"/>
              </w:tabs>
              <w:spacing w:line="360" w:lineRule="auto"/>
              <w:jc w:val="center"/>
              <w:rPr>
                <w:rFonts w:hint="eastAsia" w:ascii="仿宋" w:hAnsi="仿宋" w:eastAsia="仿宋" w:cs="仿宋"/>
                <w:sz w:val="24"/>
                <w:szCs w:val="24"/>
                <w:highlight w:val="none"/>
              </w:rPr>
            </w:pPr>
          </w:p>
        </w:tc>
        <w:tc>
          <w:tcPr>
            <w:tcW w:w="1232" w:type="dxa"/>
            <w:noWrap w:val="0"/>
            <w:vAlign w:val="top"/>
          </w:tcPr>
          <w:p w14:paraId="207F89B4">
            <w:pPr>
              <w:tabs>
                <w:tab w:val="left" w:pos="480"/>
              </w:tabs>
              <w:spacing w:line="360" w:lineRule="auto"/>
              <w:jc w:val="center"/>
              <w:rPr>
                <w:rFonts w:hint="eastAsia" w:ascii="仿宋" w:hAnsi="仿宋" w:eastAsia="仿宋" w:cs="仿宋"/>
                <w:sz w:val="24"/>
                <w:szCs w:val="24"/>
                <w:highlight w:val="none"/>
              </w:rPr>
            </w:pPr>
          </w:p>
        </w:tc>
        <w:tc>
          <w:tcPr>
            <w:tcW w:w="1078" w:type="dxa"/>
            <w:noWrap w:val="0"/>
            <w:vAlign w:val="center"/>
          </w:tcPr>
          <w:p w14:paraId="15ABB657">
            <w:pPr>
              <w:tabs>
                <w:tab w:val="left" w:pos="480"/>
              </w:tabs>
              <w:spacing w:line="360" w:lineRule="auto"/>
              <w:jc w:val="center"/>
              <w:rPr>
                <w:rFonts w:hint="eastAsia" w:ascii="仿宋" w:hAnsi="仿宋" w:eastAsia="仿宋" w:cs="仿宋"/>
                <w:sz w:val="24"/>
                <w:szCs w:val="24"/>
                <w:highlight w:val="none"/>
              </w:rPr>
            </w:pPr>
          </w:p>
        </w:tc>
        <w:tc>
          <w:tcPr>
            <w:tcW w:w="925" w:type="dxa"/>
            <w:noWrap w:val="0"/>
            <w:vAlign w:val="top"/>
          </w:tcPr>
          <w:p w14:paraId="692EDD08">
            <w:pPr>
              <w:tabs>
                <w:tab w:val="left" w:pos="480"/>
              </w:tabs>
              <w:spacing w:line="360" w:lineRule="auto"/>
              <w:jc w:val="center"/>
              <w:rPr>
                <w:rFonts w:hint="eastAsia" w:ascii="仿宋" w:hAnsi="仿宋" w:eastAsia="仿宋" w:cs="仿宋"/>
                <w:sz w:val="24"/>
                <w:szCs w:val="24"/>
                <w:highlight w:val="none"/>
              </w:rPr>
            </w:pPr>
          </w:p>
        </w:tc>
        <w:tc>
          <w:tcPr>
            <w:tcW w:w="1160" w:type="dxa"/>
            <w:noWrap w:val="0"/>
            <w:vAlign w:val="center"/>
          </w:tcPr>
          <w:p w14:paraId="2D904C87">
            <w:pPr>
              <w:tabs>
                <w:tab w:val="left" w:pos="480"/>
              </w:tabs>
              <w:spacing w:line="360" w:lineRule="auto"/>
              <w:jc w:val="center"/>
              <w:rPr>
                <w:rFonts w:hint="eastAsia" w:ascii="仿宋" w:hAnsi="仿宋" w:eastAsia="仿宋" w:cs="仿宋"/>
                <w:sz w:val="24"/>
                <w:szCs w:val="24"/>
                <w:highlight w:val="none"/>
              </w:rPr>
            </w:pPr>
          </w:p>
        </w:tc>
        <w:tc>
          <w:tcPr>
            <w:tcW w:w="1102" w:type="dxa"/>
            <w:noWrap w:val="0"/>
            <w:vAlign w:val="top"/>
          </w:tcPr>
          <w:p w14:paraId="6D974762">
            <w:pPr>
              <w:tabs>
                <w:tab w:val="left" w:pos="480"/>
              </w:tabs>
              <w:spacing w:line="360" w:lineRule="auto"/>
              <w:jc w:val="center"/>
              <w:rPr>
                <w:rFonts w:hint="eastAsia" w:ascii="仿宋" w:hAnsi="仿宋" w:eastAsia="仿宋" w:cs="仿宋"/>
                <w:sz w:val="24"/>
                <w:szCs w:val="24"/>
                <w:highlight w:val="none"/>
              </w:rPr>
            </w:pPr>
          </w:p>
        </w:tc>
        <w:tc>
          <w:tcPr>
            <w:tcW w:w="961" w:type="dxa"/>
            <w:noWrap w:val="0"/>
            <w:vAlign w:val="top"/>
          </w:tcPr>
          <w:p w14:paraId="350BCF59">
            <w:pPr>
              <w:tabs>
                <w:tab w:val="left" w:pos="480"/>
              </w:tabs>
              <w:spacing w:line="360" w:lineRule="auto"/>
              <w:jc w:val="center"/>
              <w:rPr>
                <w:rFonts w:hint="eastAsia" w:ascii="仿宋" w:hAnsi="仿宋" w:eastAsia="仿宋" w:cs="仿宋"/>
                <w:sz w:val="24"/>
                <w:szCs w:val="24"/>
                <w:highlight w:val="none"/>
              </w:rPr>
            </w:pPr>
          </w:p>
        </w:tc>
      </w:tr>
      <w:tr w14:paraId="3BE86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712" w:type="dxa"/>
            <w:gridSpan w:val="9"/>
            <w:noWrap w:val="0"/>
            <w:vAlign w:val="center"/>
          </w:tcPr>
          <w:p w14:paraId="0DE407B5">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单价</w:t>
            </w:r>
            <w:r>
              <w:rPr>
                <w:rFonts w:hint="eastAsia" w:ascii="仿宋" w:hAnsi="仿宋" w:eastAsia="仿宋" w:cs="仿宋"/>
                <w:color w:val="auto"/>
                <w:sz w:val="24"/>
                <w:szCs w:val="24"/>
                <w:highlight w:val="none"/>
              </w:rPr>
              <w:t>合计人民币（大写）：</w:t>
            </w:r>
          </w:p>
          <w:p w14:paraId="497AC202">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r>
      <w:tr w14:paraId="39FC7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92" w:type="dxa"/>
            <w:noWrap w:val="0"/>
            <w:vAlign w:val="center"/>
          </w:tcPr>
          <w:p w14:paraId="3E8294AD">
            <w:pPr>
              <w:tabs>
                <w:tab w:val="left" w:pos="480"/>
              </w:tabs>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tc>
        <w:tc>
          <w:tcPr>
            <w:tcW w:w="8920" w:type="dxa"/>
            <w:gridSpan w:val="8"/>
            <w:noWrap w:val="0"/>
            <w:vAlign w:val="center"/>
          </w:tcPr>
          <w:p w14:paraId="77525FFA">
            <w:pPr>
              <w:tabs>
                <w:tab w:val="left" w:pos="480"/>
              </w:tabs>
              <w:spacing w:line="360" w:lineRule="auto"/>
              <w:jc w:val="center"/>
              <w:rPr>
                <w:rFonts w:hint="eastAsia" w:ascii="仿宋" w:hAnsi="仿宋" w:eastAsia="仿宋" w:cs="仿宋"/>
                <w:sz w:val="24"/>
                <w:szCs w:val="24"/>
                <w:highlight w:val="none"/>
              </w:rPr>
            </w:pPr>
          </w:p>
        </w:tc>
      </w:tr>
    </w:tbl>
    <w:p w14:paraId="332F5AD7">
      <w:pPr>
        <w:tabs>
          <w:tab w:val="left" w:pos="480"/>
        </w:tabs>
        <w:spacing w:line="360" w:lineRule="auto"/>
        <w:ind w:firstLine="472" w:firstLineChars="196"/>
        <w:rPr>
          <w:rFonts w:hint="eastAsia" w:ascii="仿宋" w:hAnsi="仿宋" w:eastAsia="仿宋" w:cs="仿宋"/>
          <w:b/>
          <w:sz w:val="24"/>
          <w:szCs w:val="24"/>
          <w:highlight w:val="none"/>
        </w:rPr>
      </w:pPr>
      <w:r>
        <w:rPr>
          <w:rFonts w:hint="eastAsia" w:ascii="仿宋" w:hAnsi="仿宋" w:eastAsia="仿宋" w:cs="仿宋"/>
          <w:b/>
          <w:sz w:val="24"/>
          <w:szCs w:val="24"/>
          <w:highlight w:val="none"/>
        </w:rPr>
        <w:t>二、合同价款</w:t>
      </w:r>
    </w:p>
    <w:p w14:paraId="714698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（一）合同总价款按本项目招标所需供货需求的样式、乙方投标报价单单价及供货量计算确定。</w:t>
      </w:r>
    </w:p>
    <w:p w14:paraId="17CB8B38">
      <w:pPr>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（二）中标单价</w:t>
      </w:r>
      <w:r>
        <w:rPr>
          <w:rFonts w:hint="eastAsia" w:ascii="仿宋" w:hAnsi="仿宋" w:eastAsia="仿宋" w:cs="仿宋"/>
          <w:sz w:val="24"/>
          <w:szCs w:val="24"/>
          <w:highlight w:val="none"/>
          <w:lang w:eastAsia="zh-CN"/>
        </w:rPr>
        <w:t>合计</w:t>
      </w:r>
      <w:r>
        <w:rPr>
          <w:rFonts w:hint="eastAsia" w:ascii="仿宋" w:hAnsi="仿宋" w:eastAsia="仿宋" w:cs="仿宋"/>
          <w:sz w:val="24"/>
          <w:szCs w:val="24"/>
          <w:highlight w:val="none"/>
        </w:rPr>
        <w:t>总金额：¥</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元（大写</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w:t>
      </w:r>
    </w:p>
    <w:p w14:paraId="442F0F7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合同价包括：货物供应费（含税）、运输费（含保险费）、装卸费、安装调试费、检测验收费、技术服务费及其它乙方履行合同义务所需的全部费用。预算价：¥</w:t>
      </w:r>
      <w:r>
        <w:rPr>
          <w:rFonts w:hint="eastAsia" w:ascii="仿宋" w:hAnsi="仿宋" w:eastAsia="仿宋" w:cs="仿宋"/>
          <w:sz w:val="24"/>
          <w:szCs w:val="24"/>
          <w:highlight w:val="none"/>
          <w:u w:val="single"/>
          <w:lang w:val="en-US" w:eastAsia="zh-CN"/>
        </w:rPr>
        <w:t>70</w:t>
      </w:r>
      <w:r>
        <w:rPr>
          <w:rFonts w:hint="eastAsia" w:ascii="仿宋" w:hAnsi="仿宋" w:eastAsia="仿宋" w:cs="仿宋"/>
          <w:sz w:val="24"/>
          <w:szCs w:val="24"/>
          <w:highlight w:val="none"/>
          <w:u w:val="single"/>
        </w:rPr>
        <w:t>0000.00</w:t>
      </w:r>
      <w:r>
        <w:rPr>
          <w:rFonts w:hint="eastAsia" w:ascii="仿宋" w:hAnsi="仿宋" w:eastAsia="仿宋" w:cs="仿宋"/>
          <w:sz w:val="24"/>
          <w:szCs w:val="24"/>
          <w:highlight w:val="none"/>
        </w:rPr>
        <w:t>大写：（人民币）：</w:t>
      </w:r>
      <w:r>
        <w:rPr>
          <w:rFonts w:hint="eastAsia" w:ascii="仿宋" w:hAnsi="仿宋" w:eastAsia="仿宋" w:cs="仿宋"/>
          <w:sz w:val="24"/>
          <w:szCs w:val="24"/>
          <w:highlight w:val="none"/>
          <w:u w:val="single"/>
          <w:lang w:eastAsia="zh-CN"/>
        </w:rPr>
        <w:t>柒拾</w:t>
      </w:r>
      <w:r>
        <w:rPr>
          <w:rFonts w:hint="eastAsia" w:ascii="仿宋" w:hAnsi="仿宋" w:eastAsia="仿宋" w:cs="仿宋"/>
          <w:sz w:val="24"/>
          <w:szCs w:val="24"/>
          <w:highlight w:val="none"/>
          <w:u w:val="single"/>
        </w:rPr>
        <w:t>万元整</w:t>
      </w:r>
      <w:r>
        <w:rPr>
          <w:rFonts w:hint="eastAsia" w:ascii="仿宋" w:hAnsi="仿宋" w:eastAsia="仿宋" w:cs="仿宋"/>
          <w:sz w:val="24"/>
          <w:szCs w:val="24"/>
          <w:highlight w:val="none"/>
        </w:rPr>
        <w:t>。最终结算价款合计不超过本项目采购预算。</w:t>
      </w:r>
    </w:p>
    <w:p w14:paraId="1E0B560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（三）合同单价不受市场价格变化因素的影响</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本合同执行期间合同单价不变，甲方无须另向乙方支付本合同规定之外的其他任何费用。</w:t>
      </w:r>
    </w:p>
    <w:p w14:paraId="351D821F">
      <w:pPr>
        <w:tabs>
          <w:tab w:val="left" w:pos="480"/>
        </w:tabs>
        <w:spacing w:line="360" w:lineRule="auto"/>
        <w:ind w:firstLine="472" w:firstLineChars="196"/>
        <w:rPr>
          <w:rFonts w:hint="eastAsia" w:ascii="仿宋" w:hAnsi="仿宋" w:eastAsia="仿宋" w:cs="仿宋"/>
          <w:b/>
          <w:sz w:val="24"/>
          <w:szCs w:val="24"/>
          <w:highlight w:val="none"/>
        </w:rPr>
      </w:pPr>
      <w:r>
        <w:rPr>
          <w:rFonts w:hint="eastAsia" w:ascii="仿宋" w:hAnsi="仿宋" w:eastAsia="仿宋" w:cs="仿宋"/>
          <w:b/>
          <w:sz w:val="24"/>
          <w:szCs w:val="24"/>
          <w:highlight w:val="none"/>
        </w:rPr>
        <w:t>三、款项结算</w:t>
      </w:r>
    </w:p>
    <w:p w14:paraId="10A0488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（一）供货结算方式：所有货物到达甲方指定地点，并经甲方验收合格后，按乙方本月实际供应并通过甲方验收的货物数量，以乙方投标报价单价为基准价计算，每月</w:t>
      </w:r>
      <w:r>
        <w:rPr>
          <w:rFonts w:hint="eastAsia" w:ascii="仿宋" w:hAnsi="仿宋" w:eastAsia="仿宋" w:cs="仿宋"/>
          <w:sz w:val="24"/>
          <w:szCs w:val="24"/>
          <w:highlight w:val="none"/>
          <w:lang w:eastAsia="zh-CN"/>
        </w:rPr>
        <w:t>据实</w:t>
      </w:r>
      <w:r>
        <w:rPr>
          <w:rFonts w:hint="eastAsia" w:ascii="仿宋" w:hAnsi="仿宋" w:eastAsia="仿宋" w:cs="仿宋"/>
          <w:sz w:val="24"/>
          <w:szCs w:val="24"/>
          <w:highlight w:val="none"/>
        </w:rPr>
        <w:t>结算货款，年度采购不超过预算</w:t>
      </w:r>
      <w:r>
        <w:rPr>
          <w:rFonts w:hint="eastAsia" w:ascii="仿宋" w:hAnsi="仿宋" w:eastAsia="仿宋" w:cs="仿宋"/>
          <w:sz w:val="24"/>
          <w:szCs w:val="24"/>
          <w:highlight w:val="none"/>
          <w:u w:val="single"/>
          <w:lang w:val="en-US" w:eastAsia="zh-CN"/>
        </w:rPr>
        <w:t>70</w:t>
      </w:r>
      <w:r>
        <w:rPr>
          <w:rFonts w:hint="eastAsia" w:ascii="仿宋" w:hAnsi="仿宋" w:eastAsia="仿宋" w:cs="仿宋"/>
          <w:sz w:val="24"/>
          <w:szCs w:val="24"/>
          <w:highlight w:val="none"/>
          <w:u w:val="single"/>
        </w:rPr>
        <w:t>万元</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按每月实际交付验收合格的供货数量为依据。</w:t>
      </w:r>
    </w:p>
    <w:p w14:paraId="68A40C3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（二）乙方应于甲方每次付款前持验收合格书</w:t>
      </w:r>
      <w:r>
        <w:rPr>
          <w:rFonts w:hint="eastAsia" w:ascii="仿宋" w:hAnsi="仿宋" w:eastAsia="仿宋" w:cs="仿宋"/>
          <w:sz w:val="24"/>
          <w:szCs w:val="24"/>
          <w:highlight w:val="none"/>
          <w:lang w:val="en-US" w:eastAsia="zh-CN"/>
        </w:rPr>
        <w:t>(入库单）</w:t>
      </w:r>
      <w:r>
        <w:rPr>
          <w:rFonts w:hint="eastAsia" w:ascii="仿宋" w:hAnsi="仿宋" w:eastAsia="仿宋" w:cs="仿宋"/>
          <w:sz w:val="24"/>
          <w:szCs w:val="24"/>
          <w:highlight w:val="none"/>
        </w:rPr>
        <w:t>，合规发票（按本次结算总价开给甲方），成交通知书、供货合同，与甲方结算。如乙方未提供上述任何材料之一的，甲方有权拒付合同款项，且无需承担任何责任。</w:t>
      </w:r>
    </w:p>
    <w:p w14:paraId="38027E2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（三）支付方式：银行转帐。乙方保证其提供的账号准确无误，若在合同履行期间发生变更，乙方需及时书面通知甲方，否则由此产生的后果由乙方承担。</w:t>
      </w:r>
    </w:p>
    <w:p w14:paraId="43D5FEEA">
      <w:pPr>
        <w:tabs>
          <w:tab w:val="left" w:pos="480"/>
        </w:tabs>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四、双方的权利和义务</w:t>
      </w:r>
    </w:p>
    <w:p w14:paraId="2CDE7A5D">
      <w:pPr>
        <w:tabs>
          <w:tab w:val="left" w:pos="480"/>
        </w:tabs>
        <w:spacing w:line="360" w:lineRule="auto"/>
        <w:ind w:firstLine="470" w:firstLineChars="196"/>
        <w:rPr>
          <w:rFonts w:hint="eastAsia" w:ascii="仿宋" w:hAnsi="仿宋" w:eastAsia="仿宋" w:cs="仿宋"/>
          <w:sz w:val="24"/>
          <w:szCs w:val="24"/>
          <w:highlight w:val="none"/>
        </w:rPr>
      </w:pPr>
      <w:r>
        <w:rPr>
          <w:rFonts w:hint="eastAsia" w:ascii="仿宋" w:hAnsi="仿宋" w:eastAsia="仿宋" w:cs="仿宋"/>
          <w:sz w:val="24"/>
          <w:szCs w:val="24"/>
          <w:highlight w:val="none"/>
        </w:rPr>
        <w:t>(一)甲方的权利和义务</w:t>
      </w:r>
    </w:p>
    <w:p w14:paraId="227ED147">
      <w:pPr>
        <w:tabs>
          <w:tab w:val="left" w:pos="480"/>
        </w:tabs>
        <w:spacing w:line="360" w:lineRule="auto"/>
        <w:ind w:firstLine="470" w:firstLineChars="196"/>
        <w:rPr>
          <w:rFonts w:hint="eastAsia" w:ascii="仿宋" w:hAnsi="仿宋" w:eastAsia="仿宋" w:cs="仿宋"/>
          <w:sz w:val="24"/>
          <w:szCs w:val="24"/>
          <w:highlight w:val="none"/>
        </w:rPr>
      </w:pPr>
      <w:r>
        <w:rPr>
          <w:rFonts w:hint="eastAsia" w:ascii="仿宋" w:hAnsi="仿宋" w:eastAsia="仿宋" w:cs="仿宋"/>
          <w:sz w:val="24"/>
          <w:szCs w:val="24"/>
          <w:highlight w:val="none"/>
        </w:rPr>
        <w:t>甲方有权对乙方供货活动进行监督检查，并在货物验收时对货物的相关参数进行验收。</w:t>
      </w:r>
    </w:p>
    <w:p w14:paraId="5EE91EA2">
      <w:pPr>
        <w:tabs>
          <w:tab w:val="left" w:pos="480"/>
        </w:tabs>
        <w:spacing w:line="360" w:lineRule="auto"/>
        <w:ind w:firstLine="470" w:firstLineChars="196"/>
        <w:rPr>
          <w:rFonts w:hint="eastAsia" w:ascii="仿宋" w:hAnsi="仿宋" w:eastAsia="仿宋" w:cs="仿宋"/>
          <w:sz w:val="24"/>
          <w:szCs w:val="24"/>
          <w:highlight w:val="none"/>
        </w:rPr>
      </w:pPr>
      <w:r>
        <w:rPr>
          <w:rFonts w:hint="eastAsia" w:ascii="仿宋" w:hAnsi="仿宋" w:eastAsia="仿宋" w:cs="仿宋"/>
          <w:sz w:val="24"/>
          <w:szCs w:val="24"/>
          <w:highlight w:val="none"/>
        </w:rPr>
        <w:t>(二)乙方的权利和义务</w:t>
      </w:r>
    </w:p>
    <w:p w14:paraId="560EEA0F">
      <w:pPr>
        <w:tabs>
          <w:tab w:val="left" w:pos="480"/>
        </w:tabs>
        <w:spacing w:line="360" w:lineRule="auto"/>
        <w:ind w:firstLine="470" w:firstLineChars="196"/>
        <w:rPr>
          <w:rFonts w:hint="eastAsia" w:ascii="仿宋" w:hAnsi="仿宋" w:eastAsia="仿宋" w:cs="仿宋"/>
          <w:sz w:val="24"/>
          <w:szCs w:val="24"/>
          <w:highlight w:val="none"/>
        </w:rPr>
      </w:pPr>
      <w:r>
        <w:rPr>
          <w:rFonts w:hint="eastAsia" w:ascii="仿宋" w:hAnsi="仿宋" w:eastAsia="仿宋" w:cs="仿宋"/>
          <w:sz w:val="24"/>
          <w:szCs w:val="24"/>
          <w:highlight w:val="none"/>
        </w:rPr>
        <w:t>乙方有义务为甲方提供优质产品和售后服务，并按约定送货等。乙方有权拒绝采购单位在供货过程中的任何非法要求。由于乙方在供货过程中引发的一切事故，乙方应承担由此造成的一切人身或财产损失，给甲方造成损失的，甲方有权向乙方进行追偿(包括但不限于甲方为此支付的律师费、保全费、差旅费、财产保全保险费等费用)。</w:t>
      </w:r>
    </w:p>
    <w:p w14:paraId="5CD8FAFA">
      <w:pPr>
        <w:tabs>
          <w:tab w:val="left" w:pos="480"/>
        </w:tabs>
        <w:spacing w:line="360" w:lineRule="auto"/>
        <w:ind w:firstLine="470" w:firstLineChars="196"/>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须设有固定的经营场所，具有足够服务人员数量、仓储及配送能力，进行本地化相关服务。具有强大的零星增补和及时响应能力，增补供货进度不得多于3天。</w:t>
      </w:r>
    </w:p>
    <w:p w14:paraId="16F4CAD2">
      <w:pPr>
        <w:tabs>
          <w:tab w:val="left" w:pos="480"/>
        </w:tabs>
        <w:spacing w:line="360" w:lineRule="auto"/>
        <w:ind w:firstLine="472" w:firstLineChars="196"/>
        <w:rPr>
          <w:rFonts w:hint="eastAsia" w:ascii="仿宋" w:hAnsi="仿宋" w:eastAsia="仿宋" w:cs="仿宋"/>
          <w:sz w:val="24"/>
          <w:szCs w:val="24"/>
          <w:highlight w:val="none"/>
        </w:rPr>
      </w:pPr>
      <w:r>
        <w:rPr>
          <w:rFonts w:hint="eastAsia" w:ascii="仿宋" w:hAnsi="仿宋" w:eastAsia="仿宋" w:cs="仿宋"/>
          <w:b/>
          <w:sz w:val="24"/>
          <w:szCs w:val="24"/>
          <w:highlight w:val="none"/>
        </w:rPr>
        <w:t>五、交货条件</w:t>
      </w:r>
    </w:p>
    <w:p w14:paraId="1C6B4AFE">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（一）交货地点：甲方指定地点。</w:t>
      </w:r>
    </w:p>
    <w:p w14:paraId="66361EE0">
      <w:pPr>
        <w:tabs>
          <w:tab w:val="left" w:pos="480"/>
        </w:tabs>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sz w:val="24"/>
          <w:szCs w:val="24"/>
          <w:highlight w:val="none"/>
        </w:rPr>
        <w:t>（二）交货期：</w:t>
      </w:r>
      <w:r>
        <w:rPr>
          <w:rFonts w:hint="eastAsia" w:ascii="仿宋" w:hAnsi="仿宋" w:eastAsia="仿宋" w:cs="仿宋"/>
          <w:sz w:val="24"/>
          <w:szCs w:val="24"/>
          <w:highlight w:val="none"/>
          <w:lang w:eastAsia="zh-CN"/>
        </w:rPr>
        <w:t>供货期:</w:t>
      </w:r>
      <w:r>
        <w:rPr>
          <w:rFonts w:hint="eastAsia" w:ascii="宋体" w:hAnsi="宋体" w:eastAsia="宋体" w:cs="宋体"/>
          <w:sz w:val="24"/>
          <w:szCs w:val="24"/>
          <w:highlight w:val="none"/>
          <w:lang w:eastAsia="zh-CN"/>
        </w:rPr>
        <w:t>_____</w:t>
      </w:r>
      <w:r>
        <w:rPr>
          <w:rFonts w:hint="eastAsia" w:ascii="仿宋" w:hAnsi="仿宋" w:eastAsia="仿宋" w:cs="仿宋"/>
          <w:sz w:val="24"/>
          <w:szCs w:val="24"/>
          <w:highlight w:val="none"/>
          <w:lang w:eastAsia="zh-CN"/>
        </w:rPr>
        <w:t>年</w:t>
      </w:r>
      <w:r>
        <w:rPr>
          <w:rFonts w:hint="eastAsia" w:ascii="宋体" w:hAnsi="宋体" w:eastAsia="宋体" w:cs="宋体"/>
          <w:sz w:val="24"/>
          <w:szCs w:val="24"/>
          <w:highlight w:val="none"/>
          <w:lang w:eastAsia="zh-CN"/>
        </w:rPr>
        <w:t>____</w:t>
      </w:r>
      <w:r>
        <w:rPr>
          <w:rFonts w:hint="eastAsia" w:ascii="仿宋" w:hAnsi="仿宋" w:eastAsia="仿宋" w:cs="仿宋"/>
          <w:sz w:val="24"/>
          <w:szCs w:val="24"/>
          <w:highlight w:val="none"/>
          <w:lang w:eastAsia="zh-CN"/>
        </w:rPr>
        <w:t>月</w:t>
      </w:r>
      <w:r>
        <w:rPr>
          <w:rFonts w:hint="eastAsia" w:ascii="宋体" w:hAnsi="宋体" w:eastAsia="宋体" w:cs="宋体"/>
          <w:sz w:val="24"/>
          <w:szCs w:val="24"/>
          <w:highlight w:val="none"/>
          <w:lang w:eastAsia="zh-CN"/>
        </w:rPr>
        <w:t>____</w:t>
      </w:r>
      <w:r>
        <w:rPr>
          <w:rFonts w:hint="eastAsia" w:ascii="仿宋" w:hAnsi="仿宋" w:eastAsia="仿宋" w:cs="仿宋"/>
          <w:sz w:val="24"/>
          <w:szCs w:val="24"/>
          <w:highlight w:val="none"/>
          <w:lang w:eastAsia="zh-CN"/>
        </w:rPr>
        <w:t>日至</w:t>
      </w:r>
      <w:r>
        <w:rPr>
          <w:rFonts w:hint="eastAsia" w:ascii="宋体" w:hAnsi="宋体" w:eastAsia="宋体" w:cs="宋体"/>
          <w:sz w:val="24"/>
          <w:szCs w:val="24"/>
          <w:highlight w:val="none"/>
          <w:lang w:eastAsia="zh-CN"/>
        </w:rPr>
        <w:t>____</w:t>
      </w:r>
      <w:r>
        <w:rPr>
          <w:rFonts w:hint="eastAsia" w:ascii="仿宋" w:hAnsi="仿宋" w:eastAsia="仿宋" w:cs="仿宋"/>
          <w:sz w:val="24"/>
          <w:szCs w:val="24"/>
          <w:highlight w:val="none"/>
          <w:lang w:eastAsia="zh-CN"/>
        </w:rPr>
        <w:t>年</w:t>
      </w:r>
      <w:r>
        <w:rPr>
          <w:rFonts w:hint="eastAsia" w:ascii="宋体" w:hAnsi="宋体" w:eastAsia="宋体" w:cs="宋体"/>
          <w:sz w:val="24"/>
          <w:szCs w:val="24"/>
          <w:highlight w:val="none"/>
          <w:lang w:eastAsia="zh-CN"/>
        </w:rPr>
        <w:t>____</w:t>
      </w:r>
      <w:r>
        <w:rPr>
          <w:rFonts w:hint="eastAsia" w:ascii="仿宋" w:hAnsi="仿宋" w:eastAsia="仿宋" w:cs="仿宋"/>
          <w:sz w:val="24"/>
          <w:szCs w:val="24"/>
          <w:highlight w:val="none"/>
          <w:lang w:eastAsia="zh-CN"/>
        </w:rPr>
        <w:t>月</w:t>
      </w:r>
      <w:r>
        <w:rPr>
          <w:rFonts w:hint="eastAsia" w:ascii="宋体" w:hAnsi="宋体" w:eastAsia="宋体" w:cs="宋体"/>
          <w:sz w:val="24"/>
          <w:szCs w:val="24"/>
          <w:highlight w:val="none"/>
          <w:lang w:eastAsia="zh-CN"/>
        </w:rPr>
        <w:t>____</w:t>
      </w:r>
      <w:r>
        <w:rPr>
          <w:rFonts w:hint="eastAsia" w:ascii="仿宋" w:hAnsi="仿宋" w:eastAsia="仿宋" w:cs="仿宋"/>
          <w:sz w:val="24"/>
          <w:szCs w:val="24"/>
          <w:highlight w:val="none"/>
          <w:lang w:eastAsia="zh-CN"/>
        </w:rPr>
        <w:t>日止，在此期间甲方所需货物，乙方必须在接到供货需求后4小时内送到甲方指定地点并完成货物的安装、调试、验收合格并正常使用，每延迟一天按500元向甲方支付违约金，</w:t>
      </w:r>
      <w:r>
        <w:rPr>
          <w:rFonts w:hint="eastAsia" w:ascii="仿宋" w:hAnsi="仿宋" w:eastAsia="仿宋" w:cs="仿宋"/>
          <w:sz w:val="24"/>
          <w:szCs w:val="24"/>
          <w:highlight w:val="none"/>
          <w:lang w:val="en-US" w:eastAsia="zh-CN"/>
        </w:rPr>
        <w:t>单次</w:t>
      </w:r>
      <w:r>
        <w:rPr>
          <w:rFonts w:hint="eastAsia" w:ascii="仿宋" w:hAnsi="仿宋" w:eastAsia="仿宋" w:cs="仿宋"/>
          <w:sz w:val="24"/>
          <w:szCs w:val="24"/>
          <w:highlight w:val="none"/>
          <w:lang w:eastAsia="zh-CN"/>
        </w:rPr>
        <w:t>延迟超过【2</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天</w:t>
      </w:r>
      <w:r>
        <w:rPr>
          <w:rFonts w:hint="eastAsia" w:ascii="仿宋" w:hAnsi="仿宋" w:eastAsia="仿宋" w:cs="仿宋"/>
          <w:sz w:val="24"/>
          <w:szCs w:val="24"/>
          <w:highlight w:val="none"/>
          <w:lang w:val="en-US" w:eastAsia="zh-CN"/>
        </w:rPr>
        <w:t>或合同履行其内迟延交货情形累计达到【3 】次的，</w:t>
      </w:r>
      <w:r>
        <w:rPr>
          <w:rFonts w:hint="eastAsia" w:ascii="仿宋" w:hAnsi="仿宋" w:eastAsia="仿宋" w:cs="仿宋"/>
          <w:sz w:val="24"/>
          <w:szCs w:val="24"/>
          <w:highlight w:val="none"/>
          <w:lang w:eastAsia="zh-CN"/>
        </w:rPr>
        <w:t>视为乙方根本违约，甲方有权单方解除本合同，自解除通知书送达乙方时本合同解除，同时按照本合同第十条第(二)款之约定追究乙方的违约责任。</w:t>
      </w:r>
    </w:p>
    <w:p w14:paraId="05C4E8F4">
      <w:pPr>
        <w:tabs>
          <w:tab w:val="left" w:pos="480"/>
        </w:tabs>
        <w:spacing w:line="360" w:lineRule="auto"/>
        <w:ind w:firstLine="472" w:firstLineChars="196"/>
        <w:rPr>
          <w:rFonts w:hint="eastAsia" w:ascii="仿宋" w:hAnsi="仿宋" w:eastAsia="仿宋" w:cs="仿宋"/>
          <w:b/>
          <w:sz w:val="24"/>
          <w:szCs w:val="24"/>
          <w:highlight w:val="none"/>
        </w:rPr>
      </w:pPr>
      <w:r>
        <w:rPr>
          <w:rFonts w:hint="eastAsia" w:ascii="仿宋" w:hAnsi="仿宋" w:eastAsia="仿宋" w:cs="仿宋"/>
          <w:b/>
          <w:sz w:val="24"/>
          <w:szCs w:val="24"/>
          <w:highlight w:val="none"/>
        </w:rPr>
        <w:t>六、运输</w:t>
      </w:r>
    </w:p>
    <w:p w14:paraId="166AB2E5">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（一）运输由乙方负责，运杂费已包含在合同总价内，包括从货物供应地点所含的运输费、装卸费、仓储费、保险费等。</w:t>
      </w:r>
    </w:p>
    <w:p w14:paraId="11AF8CAC">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（二）运输方式由乙方自行选择，但必须保证按期交货。</w:t>
      </w:r>
    </w:p>
    <w:p w14:paraId="578883D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w:t>
      </w:r>
      <w:r>
        <w:rPr>
          <w:rFonts w:hint="eastAsia" w:ascii="仿宋" w:hAnsi="仿宋" w:eastAsia="仿宋" w:cs="仿宋"/>
          <w:sz w:val="24"/>
          <w:szCs w:val="24"/>
          <w:highlight w:val="none"/>
          <w:lang w:eastAsia="zh-CN"/>
        </w:rPr>
        <w:t>运输过程中发生的一切</w:t>
      </w:r>
      <w:r>
        <w:rPr>
          <w:rFonts w:hint="eastAsia" w:ascii="仿宋" w:hAnsi="仿宋" w:eastAsia="仿宋" w:cs="仿宋"/>
          <w:sz w:val="24"/>
          <w:szCs w:val="24"/>
          <w:highlight w:val="none"/>
        </w:rPr>
        <w:t>风险</w:t>
      </w:r>
      <w:r>
        <w:rPr>
          <w:rFonts w:hint="eastAsia" w:ascii="仿宋" w:hAnsi="仿宋" w:eastAsia="仿宋" w:cs="仿宋"/>
          <w:sz w:val="24"/>
          <w:szCs w:val="24"/>
          <w:highlight w:val="none"/>
          <w:lang w:eastAsia="zh-CN"/>
        </w:rPr>
        <w:t>及质量问题</w:t>
      </w:r>
      <w:r>
        <w:rPr>
          <w:rFonts w:hint="eastAsia" w:ascii="仿宋" w:hAnsi="仿宋" w:eastAsia="仿宋" w:cs="仿宋"/>
          <w:sz w:val="24"/>
          <w:szCs w:val="24"/>
          <w:highlight w:val="none"/>
        </w:rPr>
        <w:t>由乙方承担。</w:t>
      </w:r>
    </w:p>
    <w:p w14:paraId="1527B206">
      <w:pPr>
        <w:tabs>
          <w:tab w:val="left" w:pos="480"/>
        </w:tabs>
        <w:spacing w:line="360" w:lineRule="auto"/>
        <w:ind w:firstLine="472" w:firstLineChars="196"/>
        <w:rPr>
          <w:rFonts w:hint="eastAsia" w:ascii="仿宋" w:hAnsi="仿宋" w:eastAsia="仿宋" w:cs="仿宋"/>
          <w:b/>
          <w:sz w:val="24"/>
          <w:szCs w:val="24"/>
          <w:highlight w:val="none"/>
        </w:rPr>
      </w:pPr>
      <w:r>
        <w:rPr>
          <w:rFonts w:hint="eastAsia" w:ascii="仿宋" w:hAnsi="仿宋" w:eastAsia="仿宋" w:cs="仿宋"/>
          <w:b/>
          <w:sz w:val="24"/>
          <w:szCs w:val="24"/>
          <w:highlight w:val="none"/>
        </w:rPr>
        <w:t>七、质量保证</w:t>
      </w:r>
    </w:p>
    <w:p w14:paraId="515DE959">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乙方所供货物必须执行下列条款：</w:t>
      </w:r>
    </w:p>
    <w:p w14:paraId="5C2BCE53">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（一）选用的货物保证技术指标先进、质量性能可靠、进货渠道正常，配置合理，全面满足招标文件要求。</w:t>
      </w:r>
    </w:p>
    <w:p w14:paraId="670CCA77">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（二）货物符合国家有关规范要求，确保整个货物达到最佳使用状态。</w:t>
      </w:r>
    </w:p>
    <w:p w14:paraId="5A875C78">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（三）货物自验收合格之日起：提供质保壹年，货物在质保期内出现质量问题的，甲方有权要求退货或要求乙方免费换货。</w:t>
      </w:r>
    </w:p>
    <w:p w14:paraId="2746AA84">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lang w:eastAsia="zh-CN"/>
        </w:rPr>
        <w:t>必须制订安全、有效的特殊情况应急预案，以确保产品的供给。</w:t>
      </w:r>
    </w:p>
    <w:p w14:paraId="1260EEF4">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五</w:t>
      </w:r>
      <w:r>
        <w:rPr>
          <w:rFonts w:hint="eastAsia" w:ascii="仿宋" w:hAnsi="仿宋" w:eastAsia="仿宋" w:cs="仿宋"/>
          <w:sz w:val="24"/>
          <w:szCs w:val="24"/>
          <w:highlight w:val="none"/>
          <w:lang w:eastAsia="zh-CN"/>
        </w:rPr>
        <w:t>）每一批次的产品都必须有厂家出具的质监部门的检验报告或产品合格证。</w:t>
      </w:r>
    </w:p>
    <w:p w14:paraId="61C92FD5">
      <w:pPr>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八、售后服务</w:t>
      </w:r>
    </w:p>
    <w:p w14:paraId="7C8103A8">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乙方提供以下售后服务：</w:t>
      </w:r>
    </w:p>
    <w:p w14:paraId="28D7DF28">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（一）质保期内：</w:t>
      </w:r>
    </w:p>
    <w:p w14:paraId="009809AE">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乙方所供货物发生质量问题，在接到甲方通知后，</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lang w:eastAsia="zh-CN"/>
        </w:rPr>
        <w:t>须在8小时以内进行更换或退换，确保所提供的产品合格率达到100%，并对造成的损失承担赔偿责任，发生的全部费用由乙方承担，若需将货物送回生产厂，乙方应承担往返费用；</w:t>
      </w:r>
    </w:p>
    <w:p w14:paraId="5BBAD745">
      <w:pPr>
        <w:tabs>
          <w:tab w:val="left" w:pos="480"/>
        </w:tabs>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（二）服务承诺：以投标文件、澄清表（函）、合同和随货物的相关文件为准。</w:t>
      </w:r>
    </w:p>
    <w:p w14:paraId="1CF53FC4">
      <w:pPr>
        <w:numPr>
          <w:ilvl w:val="0"/>
          <w:numId w:val="0"/>
        </w:numPr>
        <w:tabs>
          <w:tab w:val="left" w:pos="480"/>
        </w:tabs>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九、技术与服务</w:t>
      </w:r>
    </w:p>
    <w:p w14:paraId="74147F9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（一）技术资料：</w:t>
      </w:r>
    </w:p>
    <w:p w14:paraId="76D79C5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1、货物合格证；</w:t>
      </w:r>
    </w:p>
    <w:p w14:paraId="297A0ADB">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2、货物使用说明书（中文）；</w:t>
      </w:r>
    </w:p>
    <w:p w14:paraId="715637B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3、进口货物商检证明和报关单；</w:t>
      </w:r>
    </w:p>
    <w:p w14:paraId="31E363B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4、检验测试报告；</w:t>
      </w:r>
    </w:p>
    <w:p w14:paraId="7DB390F5">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5、其它资料。</w:t>
      </w:r>
    </w:p>
    <w:p w14:paraId="4FF07AE6">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（二）服务承诺：以澄清表、合同和随货物的相关文件为准。</w:t>
      </w:r>
    </w:p>
    <w:p w14:paraId="4B1078CB">
      <w:pPr>
        <w:tabs>
          <w:tab w:val="left" w:pos="480"/>
        </w:tabs>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技术要求</w:t>
      </w:r>
    </w:p>
    <w:p w14:paraId="4F1955CD">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default" w:ascii="仿宋" w:hAnsi="仿宋" w:eastAsia="仿宋" w:cs="仿宋"/>
          <w:sz w:val="24"/>
          <w:szCs w:val="24"/>
          <w:highlight w:val="none"/>
          <w:lang w:val="en-US" w:eastAsia="zh-CN"/>
        </w:rPr>
        <w:t>品质要求</w:t>
      </w:r>
    </w:p>
    <w:p w14:paraId="427AD0F8">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五金产品表面应光滑，无明显划痕、凹坑、毛刺等缺陷。五金产品尺寸精度要高。每一批次的产品都必须有厂家出具的质监部门的检验报告。</w:t>
      </w:r>
    </w:p>
    <w:p w14:paraId="2395F4F4">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r>
        <w:rPr>
          <w:rFonts w:hint="default" w:ascii="仿宋" w:hAnsi="仿宋" w:eastAsia="仿宋" w:cs="仿宋"/>
          <w:sz w:val="24"/>
          <w:szCs w:val="24"/>
          <w:highlight w:val="none"/>
          <w:lang w:val="en-US" w:eastAsia="zh-CN"/>
        </w:rPr>
        <w:t>物理性能要求</w:t>
      </w:r>
    </w:p>
    <w:p w14:paraId="38F45972">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根据使用场景的不同，五金产品要有合适的硬度。五金产品要具有良好的韧性，特别是在承受冲击或弯曲时不易断裂。对于经常摩擦的五金产品，需具有良好的耐磨性能，以保证使用寿命。</w:t>
      </w:r>
    </w:p>
    <w:p w14:paraId="1EC5DBEB">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w:t>
      </w:r>
      <w:r>
        <w:rPr>
          <w:rFonts w:hint="default" w:ascii="仿宋" w:hAnsi="仿宋" w:eastAsia="仿宋" w:cs="仿宋"/>
          <w:sz w:val="24"/>
          <w:szCs w:val="24"/>
          <w:highlight w:val="none"/>
          <w:lang w:val="en-US" w:eastAsia="zh-CN"/>
        </w:rPr>
        <w:t>化学性能要求</w:t>
      </w:r>
    </w:p>
    <w:p w14:paraId="66CFE4D7">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五金产品要能抵抗环境中的化学物质腐蚀，需要具有良好的抗氧化性能。</w:t>
      </w:r>
    </w:p>
    <w:p w14:paraId="065E63F8">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default" w:ascii="仿宋" w:hAnsi="仿宋" w:eastAsia="仿宋" w:cs="仿宋"/>
          <w:sz w:val="24"/>
          <w:szCs w:val="24"/>
          <w:highlight w:val="none"/>
          <w:lang w:val="en-US" w:eastAsia="zh-CN"/>
        </w:rPr>
        <w:t>组成成分要求</w:t>
      </w:r>
    </w:p>
    <w:p w14:paraId="728CB3BF">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乙方</w:t>
      </w:r>
      <w:r>
        <w:rPr>
          <w:rFonts w:hint="default" w:ascii="仿宋" w:hAnsi="仿宋" w:eastAsia="仿宋" w:cs="仿宋"/>
          <w:sz w:val="24"/>
          <w:szCs w:val="24"/>
          <w:highlight w:val="none"/>
          <w:lang w:val="en-US" w:eastAsia="zh-CN"/>
        </w:rPr>
        <w:t>应明确五金产品的组成成分，确保符合采购要求和国家标准，以保证五金产品的性能和质量。五金产品不能含有对人体健康或环境有害的成分。</w:t>
      </w:r>
    </w:p>
    <w:p w14:paraId="68794CA1">
      <w:pPr>
        <w:numPr>
          <w:ilvl w:val="0"/>
          <w:numId w:val="0"/>
        </w:numPr>
        <w:tabs>
          <w:tab w:val="left" w:pos="480"/>
        </w:tabs>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十、违约责任</w:t>
      </w:r>
    </w:p>
    <w:p w14:paraId="6F255034">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（一）按《民法典》中的相关条款执行。</w:t>
      </w:r>
    </w:p>
    <w:p w14:paraId="3A016EAD">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未按合同要求提供产品、服务或货物、服务质量不能满足招标文件技术要求，乙方必须无条件按甲方要求的时限更换产品或提供符合要求的服务，提高技术，完善质量，否则，甲方有权单方解除本合同（合同自解除通知送达乙方之日视为解除），并按以下两种方式对乙方的违约行为进行追究。</w:t>
      </w:r>
    </w:p>
    <w:p w14:paraId="4A1A5FFB">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1、乙方赔偿甲方解除合同的全部损失（包括但不限于重新采购产生的费用、合同未履行导致货物不能按规划交付使用可能产生的租赁费用及其它由此造成的甲方对第三方的违约损失）；</w:t>
      </w:r>
    </w:p>
    <w:p w14:paraId="62771463">
      <w:pPr>
        <w:tabs>
          <w:tab w:val="left" w:pos="480"/>
        </w:tabs>
        <w:spacing w:line="360" w:lineRule="auto"/>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2、乙方支付甲方违约金，违约金计算方法：以甲方已支付货款为基数，支付30%为违约金。</w:t>
      </w:r>
    </w:p>
    <w:p w14:paraId="407B9EF5">
      <w:pPr>
        <w:tabs>
          <w:tab w:val="left" w:pos="480"/>
        </w:tabs>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十一、验收</w:t>
      </w:r>
    </w:p>
    <w:p w14:paraId="39802276">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（一）货物到达甲方指定地点后，甲方根据招标文件及合同要求，对货物进行外观、产地、规格、型号、材质和数量进行验收。对于不符合合同约定的货物，甲方可以拒收，且交货期不顺延。货物交货时，</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必须派遣服务队伍至最终用户现场，附品种、数量清单，供甲方发放签收用。</w:t>
      </w:r>
    </w:p>
    <w:p w14:paraId="6021EE6E">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（二）验收依据：</w:t>
      </w:r>
    </w:p>
    <w:p w14:paraId="7CEF4C2C">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1、招标文件、澄清表（函）、变更确认函；</w:t>
      </w:r>
    </w:p>
    <w:p w14:paraId="50A854C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2、本合同及附件文本；</w:t>
      </w:r>
    </w:p>
    <w:p w14:paraId="353E1D2B">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3、国家相应的标准、规范。</w:t>
      </w:r>
    </w:p>
    <w:p w14:paraId="6C3A2501">
      <w:pPr>
        <w:tabs>
          <w:tab w:val="left" w:pos="480"/>
        </w:tabs>
        <w:spacing w:line="360" w:lineRule="auto"/>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十二、合同争议解决的方式</w:t>
      </w:r>
    </w:p>
    <w:p w14:paraId="660E567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本合同在履行过程中发生的争议，由甲、乙双方当事人协商解决，协商不成的按以下第</w:t>
      </w:r>
      <w:r>
        <w:rPr>
          <w:rFonts w:hint="eastAsia" w:ascii="仿宋" w:hAnsi="仿宋" w:eastAsia="仿宋" w:cs="仿宋"/>
          <w:sz w:val="24"/>
          <w:szCs w:val="24"/>
          <w:highlight w:val="none"/>
          <w:u w:val="single"/>
        </w:rPr>
        <w:sym w:font="Wingdings" w:char="F082"/>
      </w:r>
      <w:r>
        <w:rPr>
          <w:rFonts w:hint="eastAsia" w:ascii="仿宋" w:hAnsi="仿宋" w:eastAsia="仿宋" w:cs="仿宋"/>
          <w:sz w:val="24"/>
          <w:szCs w:val="24"/>
          <w:highlight w:val="none"/>
        </w:rPr>
        <w:t>种式解决：</w:t>
      </w:r>
    </w:p>
    <w:p w14:paraId="2C463740">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1、提交</w:t>
      </w:r>
      <w:r>
        <w:rPr>
          <w:rFonts w:hint="eastAsia" w:ascii="仿宋" w:hAnsi="仿宋" w:eastAsia="仿宋" w:cs="仿宋"/>
          <w:sz w:val="24"/>
          <w:szCs w:val="24"/>
          <w:highlight w:val="none"/>
          <w:u w:val="single"/>
        </w:rPr>
        <w:t>西安</w:t>
      </w:r>
      <w:r>
        <w:rPr>
          <w:rFonts w:hint="eastAsia" w:ascii="仿宋" w:hAnsi="仿宋" w:eastAsia="仿宋" w:cs="仿宋"/>
          <w:sz w:val="24"/>
          <w:szCs w:val="24"/>
          <w:highlight w:val="none"/>
        </w:rPr>
        <w:t>仲裁委员会仲裁；</w:t>
      </w:r>
    </w:p>
    <w:p w14:paraId="73CE05B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2、依法向</w:t>
      </w:r>
      <w:r>
        <w:rPr>
          <w:rFonts w:hint="eastAsia" w:ascii="仿宋" w:hAnsi="仿宋" w:eastAsia="仿宋" w:cs="仿宋"/>
          <w:sz w:val="24"/>
          <w:szCs w:val="24"/>
          <w:highlight w:val="none"/>
          <w:u w:val="single"/>
        </w:rPr>
        <w:t>甲方所在地</w:t>
      </w:r>
      <w:r>
        <w:rPr>
          <w:rFonts w:hint="eastAsia" w:ascii="仿宋" w:hAnsi="仿宋" w:eastAsia="仿宋" w:cs="仿宋"/>
          <w:sz w:val="24"/>
          <w:szCs w:val="24"/>
          <w:highlight w:val="none"/>
        </w:rPr>
        <w:t>人民法院起诉。</w:t>
      </w:r>
    </w:p>
    <w:p w14:paraId="22A2CB46">
      <w:pPr>
        <w:tabs>
          <w:tab w:val="left" w:pos="480"/>
        </w:tabs>
        <w:spacing w:line="360" w:lineRule="auto"/>
        <w:ind w:firstLine="472" w:firstLineChars="196"/>
        <w:rPr>
          <w:rFonts w:hint="eastAsia" w:ascii="仿宋" w:hAnsi="仿宋" w:eastAsia="仿宋" w:cs="仿宋"/>
          <w:b/>
          <w:sz w:val="24"/>
          <w:szCs w:val="24"/>
          <w:highlight w:val="none"/>
        </w:rPr>
      </w:pPr>
      <w:r>
        <w:rPr>
          <w:rFonts w:hint="eastAsia" w:ascii="仿宋" w:hAnsi="仿宋" w:eastAsia="仿宋" w:cs="仿宋"/>
          <w:b/>
          <w:sz w:val="24"/>
          <w:szCs w:val="24"/>
          <w:highlight w:val="none"/>
        </w:rPr>
        <w:t>十三、合同生效</w:t>
      </w:r>
    </w:p>
    <w:p w14:paraId="3F2F4A8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lang w:eastAsia="zh-CN"/>
        </w:rPr>
        <w:t>陆</w:t>
      </w:r>
      <w:r>
        <w:rPr>
          <w:rFonts w:hint="eastAsia" w:ascii="仿宋" w:hAnsi="仿宋" w:eastAsia="仿宋" w:cs="仿宋"/>
          <w:sz w:val="24"/>
          <w:szCs w:val="24"/>
          <w:highlight w:val="none"/>
        </w:rPr>
        <w:t>份，具有同等法律效力，甲方执</w:t>
      </w:r>
      <w:r>
        <w:rPr>
          <w:rFonts w:hint="eastAsia" w:ascii="仿宋" w:hAnsi="仿宋" w:eastAsia="仿宋" w:cs="仿宋"/>
          <w:sz w:val="24"/>
          <w:szCs w:val="24"/>
          <w:highlight w:val="none"/>
          <w:lang w:val="en-US" w:eastAsia="zh-CN"/>
        </w:rPr>
        <w:t>肆</w:t>
      </w:r>
      <w:r>
        <w:rPr>
          <w:rFonts w:hint="eastAsia" w:ascii="仿宋" w:hAnsi="仿宋" w:eastAsia="仿宋" w:cs="仿宋"/>
          <w:sz w:val="24"/>
          <w:szCs w:val="24"/>
          <w:highlight w:val="none"/>
        </w:rPr>
        <w:t>份，乙方执贰份，本合同自甲、乙</w:t>
      </w:r>
      <w:r>
        <w:rPr>
          <w:rFonts w:hint="eastAsia" w:ascii="仿宋" w:hAnsi="仿宋" w:eastAsia="仿宋" w:cs="仿宋"/>
          <w:sz w:val="24"/>
          <w:szCs w:val="24"/>
          <w:highlight w:val="none"/>
          <w:lang w:val="en-US" w:eastAsia="zh-CN"/>
        </w:rPr>
        <w:t>双方</w:t>
      </w:r>
      <w:r>
        <w:rPr>
          <w:rFonts w:hint="eastAsia" w:ascii="仿宋" w:hAnsi="仿宋" w:eastAsia="仿宋" w:cs="仿宋"/>
          <w:sz w:val="24"/>
          <w:szCs w:val="24"/>
          <w:highlight w:val="none"/>
        </w:rPr>
        <w:t>签字盖章后生效，合同执行完毕后，自动终止（合同的服务承诺则长期有效）。</w:t>
      </w:r>
    </w:p>
    <w:p w14:paraId="1B4C5E08">
      <w:pPr>
        <w:tabs>
          <w:tab w:val="left" w:pos="480"/>
        </w:tabs>
        <w:spacing w:line="360" w:lineRule="auto"/>
        <w:ind w:firstLine="472" w:firstLineChars="196"/>
        <w:rPr>
          <w:rFonts w:hint="eastAsia" w:ascii="仿宋" w:hAnsi="仿宋" w:eastAsia="仿宋" w:cs="仿宋"/>
          <w:b/>
          <w:sz w:val="24"/>
          <w:szCs w:val="24"/>
          <w:highlight w:val="none"/>
        </w:rPr>
      </w:pPr>
      <w:r>
        <w:rPr>
          <w:rFonts w:hint="eastAsia" w:ascii="仿宋" w:hAnsi="仿宋" w:eastAsia="仿宋" w:cs="仿宋"/>
          <w:b/>
          <w:sz w:val="24"/>
          <w:szCs w:val="24"/>
          <w:highlight w:val="none"/>
        </w:rPr>
        <w:t>十四、其他事项</w:t>
      </w:r>
    </w:p>
    <w:p w14:paraId="431BA519">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一</w:t>
      </w:r>
      <w:r>
        <w:rPr>
          <w:rFonts w:hint="eastAsia" w:ascii="仿宋" w:hAnsi="仿宋" w:eastAsia="仿宋" w:cs="仿宋"/>
          <w:sz w:val="24"/>
          <w:szCs w:val="24"/>
          <w:highlight w:val="none"/>
        </w:rPr>
        <w:t>)西安市财政局采购管理处在合同的履行期间以及履行期后，可以随时检查项目的执行情况，对采购内容、标准进行调查核实，并对发现的问题进行处理。</w:t>
      </w:r>
    </w:p>
    <w:p w14:paraId="5C3791B8">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)招标/磋商文件、投标/响应文件、中标/成交通知书、合同附件均成为合同不可分割的部分。</w:t>
      </w:r>
    </w:p>
    <w:p w14:paraId="11613381">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)合同未尽事宜，由甲、乙双方协商</w:t>
      </w:r>
      <w:r>
        <w:rPr>
          <w:rFonts w:hint="eastAsia" w:ascii="仿宋" w:hAnsi="仿宋" w:eastAsia="仿宋" w:cs="仿宋"/>
          <w:sz w:val="24"/>
          <w:szCs w:val="24"/>
          <w:highlight w:val="none"/>
          <w:lang w:val="en-US" w:eastAsia="zh-CN"/>
        </w:rPr>
        <w:t>确认后，</w:t>
      </w:r>
      <w:r>
        <w:rPr>
          <w:rFonts w:hint="eastAsia" w:ascii="仿宋" w:hAnsi="仿宋" w:eastAsia="仿宋" w:cs="仿宋"/>
          <w:sz w:val="24"/>
          <w:szCs w:val="24"/>
          <w:highlight w:val="none"/>
        </w:rPr>
        <w:t>作为合同补充，与原合同具有同等法律效力。</w:t>
      </w:r>
    </w:p>
    <w:p w14:paraId="28B81CB1">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)合同一经签订，不得擅自变更、中止或终止合同。对确需变更、调整或中止、终止合同的，应按规定履行相应的手续。</w:t>
      </w:r>
    </w:p>
    <w:p w14:paraId="51F795D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五</w:t>
      </w:r>
      <w:r>
        <w:rPr>
          <w:rFonts w:hint="eastAsia" w:ascii="仿宋" w:hAnsi="仿宋" w:eastAsia="仿宋" w:cs="仿宋"/>
          <w:sz w:val="24"/>
          <w:szCs w:val="24"/>
          <w:highlight w:val="none"/>
        </w:rPr>
        <w:t>)本合同按照中华人民共和国的现行法律进行解释。</w:t>
      </w:r>
    </w:p>
    <w:p w14:paraId="6F0D9055">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712ABC34">
      <w:pPr>
        <w:tabs>
          <w:tab w:val="left" w:pos="480"/>
        </w:tabs>
        <w:spacing w:line="360" w:lineRule="auto"/>
        <w:rPr>
          <w:rFonts w:hint="eastAsia" w:ascii="仿宋" w:hAnsi="仿宋" w:eastAsia="仿宋" w:cs="仿宋"/>
          <w:sz w:val="24"/>
          <w:szCs w:val="24"/>
          <w:highlight w:val="none"/>
        </w:rPr>
      </w:pPr>
    </w:p>
    <w:p w14:paraId="4C7A824A">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甲方（法人公章）                             乙方（法人公章）</w:t>
      </w:r>
    </w:p>
    <w:p w14:paraId="25DD9155">
      <w:pPr>
        <w:tabs>
          <w:tab w:val="left" w:pos="480"/>
        </w:tabs>
        <w:spacing w:line="360" w:lineRule="auto"/>
        <w:ind w:left="5720" w:hanging="6240" w:hangingChars="26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单位名称：西安市中心医院                     单位名称:XXXXXXXXXX </w:t>
      </w:r>
    </w:p>
    <w:p w14:paraId="7DE652A7">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地址：西安市西五路161号                     地址：XXXXXX </w:t>
      </w:r>
    </w:p>
    <w:p w14:paraId="4173F5FA">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2FA0E8AD">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                          法定代表人：（签字）</w:t>
      </w:r>
    </w:p>
    <w:p w14:paraId="6CA3A432">
      <w:pPr>
        <w:tabs>
          <w:tab w:val="left" w:pos="480"/>
        </w:tabs>
        <w:spacing w:line="360" w:lineRule="auto"/>
        <w:rPr>
          <w:rFonts w:hint="eastAsia" w:ascii="仿宋" w:hAnsi="仿宋" w:eastAsia="仿宋" w:cs="仿宋"/>
          <w:sz w:val="24"/>
          <w:szCs w:val="24"/>
          <w:highlight w:val="none"/>
        </w:rPr>
      </w:pPr>
    </w:p>
    <w:p w14:paraId="1F0D7670">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代理人：（签字）                               代理人：（签字）</w:t>
      </w:r>
    </w:p>
    <w:p w14:paraId="5BC2E714">
      <w:pPr>
        <w:tabs>
          <w:tab w:val="left" w:pos="480"/>
        </w:tabs>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开户银行:XXXXXXXX </w:t>
      </w:r>
    </w:p>
    <w:p w14:paraId="5F6405EC">
      <w:pPr>
        <w:tabs>
          <w:tab w:val="left" w:pos="480"/>
        </w:tabs>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rPr>
        <w:t>帐号：XXXXXXXXXXX</w:t>
      </w:r>
    </w:p>
    <w:p w14:paraId="670D8A31">
      <w:pPr>
        <w:tabs>
          <w:tab w:val="left" w:pos="480"/>
        </w:tabs>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年  月  日                     签订日期：    年  月  日</w:t>
      </w:r>
    </w:p>
    <w:p w14:paraId="36E100F5">
      <w:pP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00D3C"/>
    <w:rsid w:val="2B7C6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3102</Words>
  <Characters>3187</Characters>
  <Lines>0</Lines>
  <Paragraphs>0</Paragraphs>
  <TotalTime>0</TotalTime>
  <ScaleCrop>false</ScaleCrop>
  <LinksUpToDate>false</LinksUpToDate>
  <CharactersWithSpaces>3425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2025-06-04T02:13:00Z</dcterms:created>
  <dc:creator>dell</dc:creator>
  <cp:lastModifiedBy>乐乐</cp:lastModifiedBy>
  <dcterms:modified xsi:type="dcterms:W3CDTF">2025-06-04T02:14:40Z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eyJoZGlkIjoiNjVjOGI3YWFjN2EzMDY1MTk5NTU0YjRkYzJkOWQ1YjUiLCJ1c2VySWQiOiIyODI4NjAyODQifQ==</vt:lpwstr>
  </property>
  <property fmtid="{D5CDD505-2E9C-101B-9397-08002B2CF9AE}" pid="4" name="ICV">
    <vt:lpwstr>11CF2EFA0A97486B8B8D5E7EDBDC1615_12</vt:lpwstr>
  </property>
</Properties>
</file>