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版本号：SXLX-2025-066.1.1B120250815001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2025年西安市福利彩票发行中心购置即开型福利彩票项目(二次)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SXLX-2025-066.1.1B1</w:t>
      </w:r>
      <w:r>
        <w:br/>
      </w:r>
      <w:r>
        <w:br/>
      </w:r>
      <w:r>
        <w:br/>
      </w:r>
    </w:p>
    <w:p>
      <w:pPr>
        <w:pStyle w:val="null3"/>
        <w:jc w:val="center"/>
        <w:outlineLvl w:val="5"/>
      </w:pPr>
      <w:r>
        <w:rPr>
          <w:rFonts w:ascii="仿宋_GB2312" w:hAnsi="仿宋_GB2312" w:cs="仿宋_GB2312" w:eastAsia="仿宋_GB2312"/>
          <w:sz w:val="15"/>
          <w:b/>
        </w:rPr>
        <w:t>西安市福利彩票发行中心（本级）</w:t>
      </w:r>
    </w:p>
    <w:p>
      <w:pPr>
        <w:pStyle w:val="null3"/>
        <w:jc w:val="center"/>
        <w:outlineLvl w:val="5"/>
      </w:pPr>
      <w:r>
        <w:rPr>
          <w:rFonts w:ascii="仿宋_GB2312" w:hAnsi="仿宋_GB2312" w:cs="仿宋_GB2312" w:eastAsia="仿宋_GB2312"/>
          <w:sz w:val="15"/>
          <w:b/>
        </w:rPr>
        <w:t>陕西立信工程项目管理有限公司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西安市福利彩票发行中心（本级）</w:t>
      </w:r>
      <w:r>
        <w:rPr>
          <w:rFonts w:ascii="仿宋_GB2312" w:hAnsi="仿宋_GB2312" w:cs="仿宋_GB2312" w:eastAsia="仿宋_GB2312"/>
        </w:rPr>
        <w:t>委托，拟对</w:t>
      </w:r>
      <w:r>
        <w:rPr>
          <w:rFonts w:ascii="仿宋_GB2312" w:hAnsi="仿宋_GB2312" w:cs="仿宋_GB2312" w:eastAsia="仿宋_GB2312"/>
        </w:rPr>
        <w:t>2025年西安市福利彩票发行中心购置即开型福利彩票项目(二次)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SXLX-2025-066.1.1B1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2025年西安市福利彩票发行中心购置即开型福利彩票项目(二次)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因西安市福利彩票发行中心2025年开展活动中，需购置一批即开型福利彩票刮刮乐，用于业主销售竞赛活动，通过鼓励先进，不断激发业主销售热情，提高即开票销量；需购置一批即开型福利彩票刮刮乐，用于福彩进婚登等活动，扩大福利彩票的宣传范围，提升福利彩票的品牌形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采购包1（2025年西安市福利彩票发行中心购置即开型福利彩票项目）：属于专门面向中小企业采购。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开标当天现场查询结果为准）</w:t>
      </w:r>
    </w:p>
    <w:p>
      <w:pPr>
        <w:pStyle w:val="null3"/>
      </w:pPr>
      <w:r>
        <w:rPr>
          <w:rFonts w:ascii="仿宋_GB2312" w:hAnsi="仿宋_GB2312" w:cs="仿宋_GB2312" w:eastAsia="仿宋_GB2312"/>
        </w:rPr>
        <w:t>2、法定代表人授权委托书：法定代表人参加单一来源采购的，须提供法人身份证明及本人身份证复印件；法定代表人授权他人参加单一来源采购的，须提供法定代表人授权委托书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西安市福利彩票发行中心（本级）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西安市未央区北二环369号华帝金座A座9A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029-86234104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范宁、孔祥妍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029-81770134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西安市福利彩票发行中心（本级）</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西安市福利彩票发行中心（本级）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包装完好，数量达标。 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因西安市福利彩票发行中心2025年开展活动中，需购置一批即开型福利彩票刮刮乐，用于业主销售竞赛活动，通过鼓励先进，不断激发业主销售热情，提高即开票销量；需购置一批即开型福利彩票刮刮乐，用于福彩进婚登等活动，扩大福利彩票的宣传范围，提升福利彩票的品牌形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即开型彩票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标的名称：即开型彩票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1.依据《彩票发行销售管理办法》的通知财综〔2012〕102号第二条 彩票发行机构按照统一发行、统一管理、统一标准的原则，负责全国的彩票发行和组织销售工作。彩票销售机构在彩票发行机构的统一组织下，负责本行政区域的彩票销售工作。</w:t>
            </w:r>
            <w:r>
              <w:br/>
            </w:r>
            <w:r>
              <w:rPr>
                <w:rFonts w:ascii="仿宋_GB2312" w:hAnsi="仿宋_GB2312" w:cs="仿宋_GB2312" w:eastAsia="仿宋_GB2312"/>
              </w:rPr>
              <w:t xml:space="preserve"> 2.根据甲方需求按次发货，且提供的刮刮乐应完好无损。</w:t>
            </w:r>
            <w:r>
              <w:br/>
            </w:r>
            <w:r>
              <w:rPr>
                <w:rFonts w:ascii="仿宋_GB2312" w:hAnsi="仿宋_GB2312" w:cs="仿宋_GB2312" w:eastAsia="仿宋_GB2312"/>
              </w:rPr>
              <w:t xml:space="preserve"> 3.中标人应当设有专人管理的即开型“刮刮乐”福利彩票存储仓库，存储仓库不得存放与彩票业务无关的物品，具备防火、防水、防盗、防潮、防虫等安全功能。</w:t>
            </w:r>
            <w:r>
              <w:br/>
            </w:r>
            <w:r>
              <w:rPr>
                <w:rFonts w:ascii="仿宋_GB2312" w:hAnsi="仿宋_GB2312" w:cs="仿宋_GB2312" w:eastAsia="仿宋_GB2312"/>
              </w:rPr>
              <w:t xml:space="preserve"> 4.中标人应当提供即开型“刮刮乐”福利彩票专营的物流综合管理服务。</w:t>
            </w:r>
            <w:r>
              <w:br/>
            </w:r>
            <w:r>
              <w:rPr>
                <w:rFonts w:ascii="仿宋_GB2312" w:hAnsi="仿宋_GB2312" w:cs="仿宋_GB2312" w:eastAsia="仿宋_GB2312"/>
              </w:rPr>
              <w:t xml:space="preserve"> 5.中标人应当配备相应的综合管理服务团队，综合管理服务人员应当经过上岗前培训并考试合格后方可进行物流配送等工作。</w:t>
            </w:r>
            <w:r>
              <w:br/>
            </w:r>
            <w:r>
              <w:rPr>
                <w:rFonts w:ascii="仿宋_GB2312" w:hAnsi="仿宋_GB2312" w:cs="仿宋_GB2312" w:eastAsia="仿宋_GB2312"/>
              </w:rPr>
              <w:t xml:space="preserve"> 6.对于采购人提出的服务要求，中标人应积极响应，响应时间不超过2小时。</w:t>
            </w:r>
            <w:r>
              <w:br/>
            </w:r>
            <w:r>
              <w:rPr>
                <w:rFonts w:ascii="仿宋_GB2312" w:hAnsi="仿宋_GB2312" w:cs="仿宋_GB2312" w:eastAsia="仿宋_GB2312"/>
              </w:rPr>
              <w:t xml:space="preserve"> 7.质量要求：</w:t>
            </w:r>
            <w:r>
              <w:br/>
            </w:r>
            <w:r>
              <w:rPr>
                <w:rFonts w:ascii="仿宋_GB2312" w:hAnsi="仿宋_GB2312" w:cs="仿宋_GB2312" w:eastAsia="仿宋_GB2312"/>
              </w:rPr>
              <w:t xml:space="preserve"> （1）中标人所提供货物是全新的、未使用过的、原包装未拆封的商品，完全符合采购产品规定的质量、规格和性能的要求，所有产品外包装箱不得自行拆封，包装箱上所有标签等不得 涂改或撕毁，否则甲方有权拒绝验收，非中标人原因导致的除外。</w:t>
            </w:r>
            <w:r>
              <w:br/>
            </w:r>
            <w:r>
              <w:rPr>
                <w:rFonts w:ascii="仿宋_GB2312" w:hAnsi="仿宋_GB2312" w:cs="仿宋_GB2312" w:eastAsia="仿宋_GB2312"/>
              </w:rPr>
              <w:t xml:space="preserve"> （2）中标人应保证所提供货物涉及到的知识产权是合法取得，并享有完整的知识产权。</w:t>
            </w:r>
            <w:r>
              <w:br/>
            </w:r>
            <w:r>
              <w:rPr>
                <w:rFonts w:ascii="仿宋_GB2312" w:hAnsi="仿宋_GB2312" w:cs="仿宋_GB2312" w:eastAsia="仿宋_GB2312"/>
              </w:rPr>
              <w:t xml:space="preserve"> （3）中标人提供的货物质量应符合甲方要求或国家通用标准。</w:t>
            </w:r>
            <w:r>
              <w:br/>
            </w:r>
            <w:r>
              <w:rPr>
                <w:rFonts w:ascii="仿宋_GB2312" w:hAnsi="仿宋_GB2312" w:cs="仿宋_GB2312" w:eastAsia="仿宋_GB2312"/>
              </w:rPr>
              <w:t xml:space="preserve"> 8.结算方式：以采购人实际使用量进行结算。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1.成交人应当设有专人管理的即开型“刮刮乐”福利彩票存储仓库，存储仓库不得存放与彩票业务无关的物品，具备防火、防水、防盗、防潮、防虫等安全功能。 2.成交人应当提供即开型“刮刮乐”福利彩票专营的物流综合管理服务。 3.成交人应当配备相应的综合管理服务团队，综合管理服务人员应当经过上岗前培训并考试合格后方可进行物流配送等工作。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自合同签订之日起至2026年6月10日，或本项目供货金额达到采购预算，以先达者为准。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西安市福利彩票发行中心（未央区北二环中段华帝金座A座9A楼）</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合同签订后，2025年8月31日前支付合同总金额的20%（业主销售竞赛活动）；2025年11月30日按照2025年8月31日-2025年10月31日实际供应的刮刮乐供货数量进行结算（“缔结良缘 福彩送福”福彩进婚登活动）；2026年6月30日按照2025年11月1日-2026年5月31日实际刮刮乐的供货数量进行结算（“缔结良缘 福彩送福”福彩进婚登活动）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根据甲方需求数量及质量达标</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根据本项目服务内容提供详细的服务方案（包括但不限于配送方案及配送时效、物料的保管方案及针对本项目可能出现的状况提供应对措施及相应的解决方案等）。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开标当天现场查询结果为准）</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法定代表人参加单一来源采购的，须提供法人身份证明及本人身份证复印件；法定代表人授权他人参加单一来源采购的，须提供法定代表人授权委托书</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小组认为供应商报价明显低于市场价，有可能影响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报价合理性的，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